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0E919" w14:textId="77777777" w:rsidR="006B516E" w:rsidRPr="0032182C" w:rsidRDefault="006B516E" w:rsidP="00D75299">
      <w:pPr>
        <w:tabs>
          <w:tab w:val="center" w:pos="1134"/>
          <w:tab w:val="left" w:pos="1276"/>
          <w:tab w:val="left" w:pos="2127"/>
        </w:tabs>
        <w:spacing w:after="0" w:line="240" w:lineRule="auto"/>
        <w:jc w:val="center"/>
        <w:rPr>
          <w:rFonts w:ascii="Verdana" w:hAnsi="Verdana"/>
          <w:b/>
          <w:caps/>
          <w:sz w:val="20"/>
        </w:rPr>
      </w:pPr>
    </w:p>
    <w:p w14:paraId="44223C5E" w14:textId="65575915" w:rsidR="00741634" w:rsidRPr="0032182C" w:rsidRDefault="00C0046B" w:rsidP="00D75299">
      <w:pPr>
        <w:tabs>
          <w:tab w:val="center" w:pos="1134"/>
          <w:tab w:val="left" w:pos="1276"/>
          <w:tab w:val="left" w:pos="2127"/>
        </w:tabs>
        <w:spacing w:after="0" w:line="240" w:lineRule="auto"/>
        <w:jc w:val="center"/>
        <w:rPr>
          <w:rFonts w:ascii="Verdana" w:hAnsi="Verdana"/>
          <w:b/>
          <w:sz w:val="20"/>
        </w:rPr>
      </w:pPr>
      <w:r>
        <w:rPr>
          <w:rFonts w:ascii="Verdana" w:hAnsi="Verdana"/>
          <w:b/>
          <w:caps/>
          <w:sz w:val="20"/>
        </w:rPr>
        <w:t>PROCUREMENT CONDITIONS FOR THE CENTROLINK SYSTEM INSURANCE SERVICES</w:t>
      </w:r>
      <w:r>
        <w:rPr>
          <w:rFonts w:ascii="Verdana" w:hAnsi="Verdana"/>
          <w:b/>
          <w:sz w:val="20"/>
        </w:rPr>
        <w:t xml:space="preserve"> </w:t>
      </w:r>
    </w:p>
    <w:p w14:paraId="75E950AD" w14:textId="77777777" w:rsidR="00741634" w:rsidRPr="0032182C" w:rsidRDefault="00741634" w:rsidP="00D75299">
      <w:pPr>
        <w:tabs>
          <w:tab w:val="center" w:pos="1134"/>
          <w:tab w:val="left" w:pos="1276"/>
          <w:tab w:val="left" w:pos="2127"/>
        </w:tabs>
        <w:spacing w:after="0" w:line="240" w:lineRule="auto"/>
        <w:jc w:val="center"/>
        <w:rPr>
          <w:rFonts w:ascii="Verdana" w:hAnsi="Verdana"/>
          <w:b/>
          <w:sz w:val="20"/>
          <w:lang w:eastAsia="en-US"/>
        </w:rPr>
      </w:pPr>
    </w:p>
    <w:p w14:paraId="424C6EEB" w14:textId="78439B7A" w:rsidR="00741634" w:rsidRPr="0032182C" w:rsidRDefault="00741634" w:rsidP="00D75299">
      <w:pPr>
        <w:tabs>
          <w:tab w:val="center" w:pos="1134"/>
          <w:tab w:val="left" w:pos="1276"/>
          <w:tab w:val="left" w:pos="2127"/>
        </w:tabs>
        <w:spacing w:after="0" w:line="240" w:lineRule="auto"/>
        <w:jc w:val="center"/>
        <w:rPr>
          <w:rFonts w:ascii="Verdana" w:hAnsi="Verdana"/>
          <w:b/>
          <w:bCs/>
          <w:sz w:val="20"/>
        </w:rPr>
      </w:pPr>
      <w:r>
        <w:rPr>
          <w:rFonts w:ascii="Verdana" w:hAnsi="Verdana"/>
          <w:b/>
          <w:sz w:val="20"/>
        </w:rPr>
        <w:t>PROCUREMENT METHOD – OPEN TENDER</w:t>
      </w:r>
    </w:p>
    <w:p w14:paraId="552A0C73" w14:textId="77777777" w:rsidR="002A60B1" w:rsidRPr="0032182C" w:rsidRDefault="002A60B1" w:rsidP="00D75299">
      <w:pPr>
        <w:tabs>
          <w:tab w:val="center" w:pos="1134"/>
          <w:tab w:val="left" w:pos="1276"/>
          <w:tab w:val="left" w:pos="2127"/>
        </w:tabs>
        <w:spacing w:after="0" w:line="240" w:lineRule="auto"/>
        <w:jc w:val="center"/>
        <w:rPr>
          <w:rFonts w:ascii="Verdana" w:hAnsi="Verdana"/>
          <w:b/>
          <w:bCs/>
          <w:sz w:val="20"/>
          <w:lang w:eastAsia="en-US"/>
        </w:rPr>
      </w:pPr>
    </w:p>
    <w:p w14:paraId="16E7CE47" w14:textId="77777777" w:rsidR="00E75B29" w:rsidRPr="0032182C" w:rsidRDefault="00E75B29" w:rsidP="00D75299">
      <w:pPr>
        <w:tabs>
          <w:tab w:val="center" w:pos="1134"/>
          <w:tab w:val="left" w:pos="1276"/>
          <w:tab w:val="left" w:pos="2127"/>
        </w:tabs>
        <w:spacing w:after="0" w:line="240" w:lineRule="auto"/>
        <w:jc w:val="center"/>
        <w:rPr>
          <w:rFonts w:ascii="Verdana" w:hAnsi="Verdana"/>
          <w:b/>
          <w:bCs/>
          <w:sz w:val="20"/>
          <w:lang w:eastAsia="en-US"/>
        </w:rPr>
      </w:pPr>
    </w:p>
    <w:p w14:paraId="32341948" w14:textId="77777777" w:rsidR="00E75B29" w:rsidRPr="0032182C" w:rsidRDefault="00E75B29" w:rsidP="00D75299">
      <w:pPr>
        <w:pStyle w:val="BodyText"/>
        <w:rPr>
          <w:rFonts w:ascii="Verdana" w:hAnsi="Verdana"/>
          <w:b/>
          <w:sz w:val="20"/>
          <w:szCs w:val="20"/>
        </w:rPr>
      </w:pPr>
      <w:r>
        <w:rPr>
          <w:rFonts w:ascii="Verdana" w:hAnsi="Verdana"/>
          <w:b/>
          <w:sz w:val="20"/>
        </w:rPr>
        <w:t>CONTENTS</w:t>
      </w:r>
    </w:p>
    <w:p w14:paraId="4E30281B" w14:textId="77777777" w:rsidR="00E75B29" w:rsidRPr="0032182C" w:rsidRDefault="00E75B29" w:rsidP="00D75299">
      <w:pPr>
        <w:pStyle w:val="BodyText"/>
        <w:rPr>
          <w:rFonts w:ascii="Verdana" w:hAnsi="Verdana"/>
          <w:b/>
          <w:sz w:val="20"/>
          <w:szCs w:val="20"/>
          <w:lang w:val="lt-LT"/>
        </w:rPr>
      </w:pPr>
    </w:p>
    <w:p w14:paraId="17AD435F" w14:textId="5368A71B" w:rsidR="000B3A15" w:rsidRPr="0032182C" w:rsidRDefault="00D75299">
      <w:pPr>
        <w:pStyle w:val="TOC1"/>
        <w:rPr>
          <w:rFonts w:ascii="Verdana" w:eastAsiaTheme="minorEastAsia" w:hAnsi="Verdana"/>
          <w:noProof/>
          <w:sz w:val="20"/>
        </w:rPr>
      </w:pPr>
      <w:r w:rsidRPr="0032182C">
        <w:rPr>
          <w:rFonts w:ascii="Verdana" w:hAnsi="Verdana"/>
          <w:sz w:val="20"/>
        </w:rPr>
        <w:fldChar w:fldCharType="begin"/>
      </w:r>
      <w:r w:rsidRPr="0032182C">
        <w:rPr>
          <w:rFonts w:ascii="Verdana" w:hAnsi="Verdana"/>
          <w:sz w:val="20"/>
        </w:rPr>
        <w:instrText xml:space="preserve"> TOC \o "1-3" \h \z \u </w:instrText>
      </w:r>
      <w:r w:rsidRPr="0032182C">
        <w:rPr>
          <w:rFonts w:ascii="Verdana" w:hAnsi="Verdana"/>
          <w:sz w:val="20"/>
        </w:rPr>
        <w:fldChar w:fldCharType="separate"/>
      </w:r>
      <w:hyperlink w:anchor="_Toc70500198" w:history="1">
        <w:r w:rsidR="000B3A15" w:rsidRPr="0032182C">
          <w:rPr>
            <w:rStyle w:val="Hyperlink"/>
            <w:rFonts w:ascii="Verdana" w:hAnsi="Verdana"/>
            <w:noProof/>
            <w:sz w:val="20"/>
          </w:rPr>
          <w:t>I.</w:t>
        </w:r>
        <w:r w:rsidR="000B3A15" w:rsidRPr="0032182C">
          <w:rPr>
            <w:rFonts w:ascii="Verdana" w:eastAsiaTheme="minorEastAsia" w:hAnsi="Verdana"/>
            <w:noProof/>
            <w:sz w:val="20"/>
          </w:rPr>
          <w:tab/>
        </w:r>
        <w:r w:rsidR="000B3A15" w:rsidRPr="0032182C">
          <w:rPr>
            <w:rStyle w:val="Hyperlink"/>
            <w:rFonts w:ascii="Verdana" w:hAnsi="Verdana"/>
            <w:noProof/>
            <w:sz w:val="20"/>
          </w:rPr>
          <w:t>SĄVOKOS</w:t>
        </w:r>
        <w:r w:rsidR="000B3A15" w:rsidRPr="0032182C">
          <w:rPr>
            <w:rFonts w:ascii="Verdana" w:hAnsi="Verdana"/>
            <w:noProof/>
            <w:webHidden/>
            <w:sz w:val="20"/>
          </w:rPr>
          <w:tab/>
        </w:r>
        <w:r w:rsidR="000B3A15" w:rsidRPr="0032182C">
          <w:rPr>
            <w:rFonts w:ascii="Verdana" w:hAnsi="Verdana"/>
            <w:noProof/>
            <w:webHidden/>
            <w:sz w:val="20"/>
          </w:rPr>
          <w:fldChar w:fldCharType="begin"/>
        </w:r>
        <w:r w:rsidR="000B3A15" w:rsidRPr="0032182C">
          <w:rPr>
            <w:rFonts w:ascii="Verdana" w:hAnsi="Verdana"/>
            <w:noProof/>
            <w:webHidden/>
            <w:sz w:val="20"/>
          </w:rPr>
          <w:instrText xml:space="preserve"> PAGEREF _Toc70500198 \h </w:instrText>
        </w:r>
        <w:r w:rsidR="000B3A15" w:rsidRPr="0032182C">
          <w:rPr>
            <w:rFonts w:ascii="Verdana" w:hAnsi="Verdana"/>
            <w:noProof/>
            <w:webHidden/>
            <w:sz w:val="20"/>
          </w:rPr>
        </w:r>
        <w:r w:rsidR="000B3A15" w:rsidRPr="0032182C">
          <w:rPr>
            <w:rFonts w:ascii="Verdana" w:hAnsi="Verdana"/>
            <w:noProof/>
            <w:webHidden/>
            <w:sz w:val="20"/>
          </w:rPr>
          <w:fldChar w:fldCharType="separate"/>
        </w:r>
        <w:r w:rsidR="007F0433">
          <w:rPr>
            <w:rFonts w:ascii="Verdana" w:hAnsi="Verdana"/>
            <w:noProof/>
            <w:webHidden/>
            <w:sz w:val="20"/>
          </w:rPr>
          <w:t>1</w:t>
        </w:r>
        <w:r w:rsidR="000B3A15" w:rsidRPr="0032182C">
          <w:rPr>
            <w:rFonts w:ascii="Verdana" w:hAnsi="Verdana"/>
            <w:noProof/>
            <w:webHidden/>
            <w:sz w:val="20"/>
          </w:rPr>
          <w:fldChar w:fldCharType="end"/>
        </w:r>
      </w:hyperlink>
    </w:p>
    <w:p w14:paraId="6CFE506D" w14:textId="2FD4DEB2" w:rsidR="000B3A15" w:rsidRPr="0032182C" w:rsidRDefault="000B3A15">
      <w:pPr>
        <w:pStyle w:val="TOC1"/>
        <w:rPr>
          <w:rFonts w:ascii="Verdana" w:eastAsiaTheme="minorEastAsia" w:hAnsi="Verdana"/>
          <w:noProof/>
          <w:sz w:val="20"/>
        </w:rPr>
      </w:pPr>
      <w:hyperlink w:anchor="_Toc70500199" w:history="1">
        <w:r w:rsidRPr="0032182C">
          <w:rPr>
            <w:rStyle w:val="Hyperlink"/>
            <w:rFonts w:ascii="Verdana" w:hAnsi="Verdana"/>
            <w:noProof/>
            <w:sz w:val="20"/>
          </w:rPr>
          <w:t>II.</w:t>
        </w:r>
        <w:r w:rsidRPr="0032182C">
          <w:rPr>
            <w:rFonts w:ascii="Verdana" w:eastAsiaTheme="minorEastAsia" w:hAnsi="Verdana"/>
            <w:noProof/>
            <w:sz w:val="20"/>
          </w:rPr>
          <w:tab/>
        </w:r>
        <w:r w:rsidRPr="0032182C">
          <w:rPr>
            <w:rStyle w:val="Hyperlink"/>
            <w:rFonts w:ascii="Verdana" w:hAnsi="Verdana"/>
            <w:noProof/>
            <w:sz w:val="20"/>
          </w:rPr>
          <w:t>PAGRINDINĖS PIRKIMO SĄLYGOS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_Toc70500199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2</w:t>
        </w:r>
        <w:r w:rsidRPr="0032182C">
          <w:rPr>
            <w:rFonts w:ascii="Verdana" w:hAnsi="Verdana"/>
            <w:noProof/>
            <w:webHidden/>
            <w:sz w:val="20"/>
          </w:rPr>
          <w:fldChar w:fldCharType="end"/>
        </w:r>
      </w:hyperlink>
    </w:p>
    <w:p w14:paraId="73605949" w14:textId="217A2B02" w:rsidR="000B3A15" w:rsidRPr="0032182C" w:rsidRDefault="000B3A15">
      <w:pPr>
        <w:pStyle w:val="TOC1"/>
        <w:tabs>
          <w:tab w:val="left" w:pos="880"/>
        </w:tabs>
        <w:rPr>
          <w:rFonts w:ascii="Verdana" w:eastAsiaTheme="minorEastAsia" w:hAnsi="Verdana"/>
          <w:noProof/>
          <w:sz w:val="20"/>
        </w:rPr>
      </w:pPr>
      <w:hyperlink w:anchor="_Toc70500200" w:history="1">
        <w:r w:rsidRPr="0032182C">
          <w:rPr>
            <w:rStyle w:val="Hyperlink"/>
            <w:rFonts w:ascii="Verdana" w:hAnsi="Verdana"/>
            <w:noProof/>
            <w:sz w:val="20"/>
          </w:rPr>
          <w:t>III.</w:t>
        </w:r>
        <w:r w:rsidRPr="0032182C">
          <w:rPr>
            <w:rFonts w:ascii="Verdana" w:eastAsiaTheme="minorEastAsia" w:hAnsi="Verdana"/>
            <w:noProof/>
            <w:sz w:val="20"/>
          </w:rPr>
          <w:tab/>
        </w:r>
        <w:r w:rsidRPr="0032182C">
          <w:rPr>
            <w:rStyle w:val="Hyperlink"/>
            <w:rFonts w:ascii="Verdana" w:hAnsi="Verdana"/>
            <w:noProof/>
            <w:sz w:val="20"/>
          </w:rPr>
          <w:t>BENDROSIOS NUOSTATOS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_Toc70500200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3</w:t>
        </w:r>
        <w:r w:rsidRPr="0032182C">
          <w:rPr>
            <w:rFonts w:ascii="Verdana" w:hAnsi="Verdana"/>
            <w:noProof/>
            <w:webHidden/>
            <w:sz w:val="20"/>
          </w:rPr>
          <w:fldChar w:fldCharType="end"/>
        </w:r>
      </w:hyperlink>
    </w:p>
    <w:p w14:paraId="524E30BE" w14:textId="2164A1D5" w:rsidR="000B3A15" w:rsidRPr="0032182C" w:rsidRDefault="000B3A15">
      <w:pPr>
        <w:pStyle w:val="TOC1"/>
        <w:rPr>
          <w:rFonts w:ascii="Verdana" w:eastAsiaTheme="minorEastAsia" w:hAnsi="Verdana"/>
          <w:noProof/>
          <w:sz w:val="20"/>
        </w:rPr>
      </w:pPr>
      <w:hyperlink w:anchor="_Toc70500201" w:history="1">
        <w:r w:rsidRPr="0032182C">
          <w:rPr>
            <w:rStyle w:val="Hyperlink"/>
            <w:rFonts w:ascii="Verdana" w:hAnsi="Verdana"/>
            <w:noProof/>
            <w:sz w:val="20"/>
          </w:rPr>
          <w:t>IV.</w:t>
        </w:r>
        <w:r w:rsidRPr="0032182C">
          <w:rPr>
            <w:rFonts w:ascii="Verdana" w:eastAsiaTheme="minorEastAsia" w:hAnsi="Verdana"/>
            <w:noProof/>
            <w:sz w:val="20"/>
          </w:rPr>
          <w:tab/>
        </w:r>
        <w:r w:rsidRPr="0032182C">
          <w:rPr>
            <w:rStyle w:val="Hyperlink"/>
            <w:rFonts w:ascii="Verdana" w:hAnsi="Verdana"/>
            <w:noProof/>
            <w:sz w:val="20"/>
          </w:rPr>
          <w:t>PIRKIMO OBJEKTAS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_Toc70500201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4</w:t>
        </w:r>
        <w:r w:rsidRPr="0032182C">
          <w:rPr>
            <w:rFonts w:ascii="Verdana" w:hAnsi="Verdana"/>
            <w:noProof/>
            <w:webHidden/>
            <w:sz w:val="20"/>
          </w:rPr>
          <w:fldChar w:fldCharType="end"/>
        </w:r>
      </w:hyperlink>
    </w:p>
    <w:p w14:paraId="1CB0C02B" w14:textId="47DEE632" w:rsidR="000B3A15" w:rsidRPr="0032182C" w:rsidRDefault="000B3A15">
      <w:pPr>
        <w:pStyle w:val="TOC1"/>
        <w:rPr>
          <w:rFonts w:ascii="Verdana" w:eastAsiaTheme="minorEastAsia" w:hAnsi="Verdana"/>
          <w:noProof/>
          <w:sz w:val="20"/>
        </w:rPr>
      </w:pPr>
      <w:hyperlink w:anchor="_Toc70500202" w:history="1">
        <w:r w:rsidRPr="0032182C">
          <w:rPr>
            <w:rStyle w:val="Hyperlink"/>
            <w:rFonts w:ascii="Verdana" w:hAnsi="Verdana"/>
            <w:noProof/>
            <w:sz w:val="20"/>
          </w:rPr>
          <w:t>V.</w:t>
        </w:r>
        <w:r w:rsidRPr="0032182C">
          <w:rPr>
            <w:rFonts w:ascii="Verdana" w:eastAsiaTheme="minorEastAsia" w:hAnsi="Verdana"/>
            <w:noProof/>
            <w:sz w:val="20"/>
          </w:rPr>
          <w:tab/>
        </w:r>
        <w:r w:rsidRPr="0032182C">
          <w:rPr>
            <w:rStyle w:val="Hyperlink"/>
            <w:rFonts w:ascii="Verdana" w:hAnsi="Verdana"/>
            <w:noProof/>
            <w:sz w:val="20"/>
          </w:rPr>
          <w:t>TIEKĖJŲ PAŠALINIMO PAGRINDAI, REIKALAVIMAI KVALIFIKACIJAI, REIKALAUJAMI KOKYBĖS BEI APLINKOS APSAUGOS VADYBOS SISTEMŲ STANDARTAI IR KITI REIKALAVIMAI</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_Toc70500202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4</w:t>
        </w:r>
        <w:r w:rsidRPr="0032182C">
          <w:rPr>
            <w:rFonts w:ascii="Verdana" w:hAnsi="Verdana"/>
            <w:noProof/>
            <w:webHidden/>
            <w:sz w:val="20"/>
          </w:rPr>
          <w:fldChar w:fldCharType="end"/>
        </w:r>
      </w:hyperlink>
    </w:p>
    <w:p w14:paraId="43C8EE9D" w14:textId="769709BA" w:rsidR="000B3A15" w:rsidRPr="0032182C" w:rsidRDefault="000B3A15">
      <w:pPr>
        <w:pStyle w:val="TOC1"/>
        <w:rPr>
          <w:rFonts w:ascii="Verdana" w:eastAsiaTheme="minorEastAsia" w:hAnsi="Verdana"/>
          <w:noProof/>
          <w:sz w:val="20"/>
        </w:rPr>
      </w:pPr>
      <w:hyperlink w:anchor="_Toc70500203" w:history="1">
        <w:r w:rsidRPr="0032182C">
          <w:rPr>
            <w:rStyle w:val="Hyperlink"/>
            <w:rFonts w:ascii="Verdana" w:hAnsi="Verdana"/>
            <w:noProof/>
            <w:sz w:val="20"/>
          </w:rPr>
          <w:t>VI.</w:t>
        </w:r>
        <w:r w:rsidRPr="0032182C">
          <w:rPr>
            <w:rFonts w:ascii="Verdana" w:eastAsiaTheme="minorEastAsia" w:hAnsi="Verdana"/>
            <w:noProof/>
            <w:sz w:val="20"/>
          </w:rPr>
          <w:tab/>
        </w:r>
        <w:r w:rsidRPr="0032182C">
          <w:rPr>
            <w:rStyle w:val="Hyperlink"/>
            <w:rFonts w:ascii="Verdana" w:hAnsi="Verdana"/>
            <w:noProof/>
            <w:sz w:val="20"/>
          </w:rPr>
          <w:t>TIEKĖJŲ GRUPĖS DALYVAVIMAS PIRKIMO PROCEDŪROSE</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_Toc70500203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14</w:t>
        </w:r>
        <w:r w:rsidRPr="0032182C">
          <w:rPr>
            <w:rFonts w:ascii="Verdana" w:hAnsi="Verdana"/>
            <w:noProof/>
            <w:webHidden/>
            <w:sz w:val="20"/>
          </w:rPr>
          <w:fldChar w:fldCharType="end"/>
        </w:r>
      </w:hyperlink>
    </w:p>
    <w:p w14:paraId="0E76D155" w14:textId="673BC94D" w:rsidR="000B3A15" w:rsidRPr="0032182C" w:rsidRDefault="000B3A15">
      <w:pPr>
        <w:pStyle w:val="TOC1"/>
        <w:tabs>
          <w:tab w:val="left" w:pos="880"/>
        </w:tabs>
        <w:rPr>
          <w:rFonts w:ascii="Verdana" w:eastAsiaTheme="minorEastAsia" w:hAnsi="Verdana"/>
          <w:noProof/>
          <w:sz w:val="20"/>
        </w:rPr>
      </w:pPr>
      <w:hyperlink w:anchor="_Toc70500204" w:history="1">
        <w:r w:rsidRPr="0032182C">
          <w:rPr>
            <w:rStyle w:val="Hyperlink"/>
            <w:rFonts w:ascii="Verdana" w:hAnsi="Verdana"/>
            <w:noProof/>
            <w:sz w:val="20"/>
          </w:rPr>
          <w:t>VII.</w:t>
        </w:r>
        <w:r w:rsidRPr="0032182C">
          <w:rPr>
            <w:rFonts w:ascii="Verdana" w:eastAsiaTheme="minorEastAsia" w:hAnsi="Verdana"/>
            <w:noProof/>
            <w:sz w:val="20"/>
          </w:rPr>
          <w:tab/>
        </w:r>
        <w:r w:rsidRPr="0032182C">
          <w:rPr>
            <w:rStyle w:val="Hyperlink"/>
            <w:rFonts w:ascii="Verdana" w:hAnsi="Verdana"/>
            <w:noProof/>
            <w:sz w:val="20"/>
          </w:rPr>
          <w:t>PASIŪLYMŲ RENGIMAS, PATEIKIMAS, KEITIMAS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_Toc70500204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14</w:t>
        </w:r>
        <w:r w:rsidRPr="0032182C">
          <w:rPr>
            <w:rFonts w:ascii="Verdana" w:hAnsi="Verdana"/>
            <w:noProof/>
            <w:webHidden/>
            <w:sz w:val="20"/>
          </w:rPr>
          <w:fldChar w:fldCharType="end"/>
        </w:r>
      </w:hyperlink>
    </w:p>
    <w:p w14:paraId="7F496A9D" w14:textId="0DCB6937" w:rsidR="000B3A15" w:rsidRPr="0032182C" w:rsidRDefault="000B3A15">
      <w:pPr>
        <w:pStyle w:val="TOC1"/>
        <w:tabs>
          <w:tab w:val="left" w:pos="1100"/>
        </w:tabs>
        <w:rPr>
          <w:rFonts w:ascii="Verdana" w:eastAsiaTheme="minorEastAsia" w:hAnsi="Verdana"/>
          <w:noProof/>
          <w:sz w:val="20"/>
        </w:rPr>
      </w:pPr>
      <w:hyperlink w:anchor="_Toc70500205" w:history="1">
        <w:r w:rsidRPr="0032182C">
          <w:rPr>
            <w:rStyle w:val="Hyperlink"/>
            <w:rFonts w:ascii="Verdana" w:hAnsi="Verdana"/>
            <w:noProof/>
            <w:sz w:val="20"/>
          </w:rPr>
          <w:t>VIII.</w:t>
        </w:r>
        <w:r w:rsidRPr="0032182C">
          <w:rPr>
            <w:rFonts w:ascii="Verdana" w:eastAsiaTheme="minorEastAsia" w:hAnsi="Verdana"/>
            <w:noProof/>
            <w:sz w:val="20"/>
          </w:rPr>
          <w:tab/>
        </w:r>
        <w:r w:rsidRPr="0032182C">
          <w:rPr>
            <w:rStyle w:val="Hyperlink"/>
            <w:rFonts w:ascii="Verdana" w:hAnsi="Verdana"/>
            <w:noProof/>
            <w:sz w:val="20"/>
          </w:rPr>
          <w:t>PASIŪLYMŲ ŠIFRAVIMAS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_Toc70500205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16</w:t>
        </w:r>
        <w:r w:rsidRPr="0032182C">
          <w:rPr>
            <w:rFonts w:ascii="Verdana" w:hAnsi="Verdana"/>
            <w:noProof/>
            <w:webHidden/>
            <w:sz w:val="20"/>
          </w:rPr>
          <w:fldChar w:fldCharType="end"/>
        </w:r>
      </w:hyperlink>
    </w:p>
    <w:p w14:paraId="3E8C06D7" w14:textId="2F55B789" w:rsidR="000B3A15" w:rsidRPr="0032182C" w:rsidRDefault="000B3A15">
      <w:pPr>
        <w:pStyle w:val="TOC1"/>
        <w:rPr>
          <w:rFonts w:ascii="Verdana" w:eastAsiaTheme="minorEastAsia" w:hAnsi="Verdana"/>
          <w:noProof/>
          <w:sz w:val="20"/>
        </w:rPr>
      </w:pPr>
      <w:hyperlink w:anchor="_Toc70500206" w:history="1">
        <w:r w:rsidRPr="0032182C">
          <w:rPr>
            <w:rStyle w:val="Hyperlink"/>
            <w:rFonts w:ascii="Verdana" w:hAnsi="Verdana"/>
            <w:noProof/>
            <w:sz w:val="20"/>
          </w:rPr>
          <w:t>IX.</w:t>
        </w:r>
        <w:r w:rsidRPr="0032182C">
          <w:rPr>
            <w:rFonts w:ascii="Verdana" w:eastAsiaTheme="minorEastAsia" w:hAnsi="Verdana"/>
            <w:noProof/>
            <w:sz w:val="20"/>
          </w:rPr>
          <w:tab/>
        </w:r>
        <w:r w:rsidRPr="0032182C">
          <w:rPr>
            <w:rStyle w:val="Hyperlink"/>
            <w:rFonts w:ascii="Verdana" w:hAnsi="Verdana"/>
            <w:noProof/>
            <w:sz w:val="20"/>
          </w:rPr>
          <w:t>PASIŪLYMŲ GALIOJIMO UŽTIKRINIMAS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_Toc70500206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17</w:t>
        </w:r>
        <w:r w:rsidRPr="0032182C">
          <w:rPr>
            <w:rFonts w:ascii="Verdana" w:hAnsi="Verdana"/>
            <w:noProof/>
            <w:webHidden/>
            <w:sz w:val="20"/>
          </w:rPr>
          <w:fldChar w:fldCharType="end"/>
        </w:r>
      </w:hyperlink>
    </w:p>
    <w:p w14:paraId="1CEF3F0C" w14:textId="1CE2E907" w:rsidR="000B3A15" w:rsidRPr="0032182C" w:rsidRDefault="000B3A15">
      <w:pPr>
        <w:pStyle w:val="TOC1"/>
        <w:rPr>
          <w:rFonts w:ascii="Verdana" w:eastAsiaTheme="minorEastAsia" w:hAnsi="Verdana"/>
          <w:noProof/>
          <w:sz w:val="20"/>
        </w:rPr>
      </w:pPr>
      <w:hyperlink w:anchor="_Toc70500207" w:history="1">
        <w:r w:rsidRPr="0032182C">
          <w:rPr>
            <w:rStyle w:val="Hyperlink"/>
            <w:rFonts w:ascii="Verdana" w:hAnsi="Verdana"/>
            <w:noProof/>
            <w:sz w:val="20"/>
          </w:rPr>
          <w:t>X.</w:t>
        </w:r>
        <w:r w:rsidRPr="0032182C">
          <w:rPr>
            <w:rFonts w:ascii="Verdana" w:eastAsiaTheme="minorEastAsia" w:hAnsi="Verdana"/>
            <w:noProof/>
            <w:sz w:val="20"/>
          </w:rPr>
          <w:tab/>
        </w:r>
        <w:r w:rsidRPr="0032182C">
          <w:rPr>
            <w:rStyle w:val="Hyperlink"/>
            <w:rFonts w:ascii="Verdana" w:hAnsi="Verdana"/>
            <w:noProof/>
            <w:sz w:val="20"/>
          </w:rPr>
          <w:t>PIRKIMO SĄLYGŲ PAAIŠKINIMO (PATIKSLINIMO) TVARKA</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_Toc70500207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17</w:t>
        </w:r>
        <w:r w:rsidRPr="0032182C">
          <w:rPr>
            <w:rFonts w:ascii="Verdana" w:hAnsi="Verdana"/>
            <w:noProof/>
            <w:webHidden/>
            <w:sz w:val="20"/>
          </w:rPr>
          <w:fldChar w:fldCharType="end"/>
        </w:r>
      </w:hyperlink>
    </w:p>
    <w:p w14:paraId="21527A24" w14:textId="089F02D2" w:rsidR="000B3A15" w:rsidRPr="0032182C" w:rsidRDefault="000B3A15">
      <w:pPr>
        <w:pStyle w:val="TOC1"/>
        <w:rPr>
          <w:rFonts w:ascii="Verdana" w:eastAsiaTheme="minorEastAsia" w:hAnsi="Verdana"/>
          <w:noProof/>
          <w:sz w:val="20"/>
        </w:rPr>
      </w:pPr>
      <w:hyperlink w:anchor="_Toc70500208" w:history="1">
        <w:r w:rsidRPr="0032182C">
          <w:rPr>
            <w:rStyle w:val="Hyperlink"/>
            <w:rFonts w:ascii="Verdana" w:hAnsi="Verdana"/>
            <w:noProof/>
            <w:sz w:val="20"/>
          </w:rPr>
          <w:t>XI.</w:t>
        </w:r>
        <w:r w:rsidRPr="0032182C">
          <w:rPr>
            <w:rFonts w:ascii="Verdana" w:eastAsiaTheme="minorEastAsia" w:hAnsi="Verdana"/>
            <w:noProof/>
            <w:sz w:val="20"/>
          </w:rPr>
          <w:tab/>
        </w:r>
        <w:r w:rsidRPr="0032182C">
          <w:rPr>
            <w:rStyle w:val="Hyperlink"/>
            <w:rFonts w:ascii="Verdana" w:hAnsi="Verdana"/>
            <w:noProof/>
            <w:sz w:val="20"/>
          </w:rPr>
          <w:t>SUSIPAŽINIMO SU CVP IS PRIEMONĖMIS GAUTAIS PASIŪLYMAIS PROCEDŪROS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_Toc70500208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17</w:t>
        </w:r>
        <w:r w:rsidRPr="0032182C">
          <w:rPr>
            <w:rFonts w:ascii="Verdana" w:hAnsi="Verdana"/>
            <w:noProof/>
            <w:webHidden/>
            <w:sz w:val="20"/>
          </w:rPr>
          <w:fldChar w:fldCharType="end"/>
        </w:r>
      </w:hyperlink>
    </w:p>
    <w:p w14:paraId="74247531" w14:textId="5FA1FF5C" w:rsidR="000B3A15" w:rsidRPr="0032182C" w:rsidRDefault="000B3A15">
      <w:pPr>
        <w:pStyle w:val="TOC1"/>
        <w:tabs>
          <w:tab w:val="left" w:pos="880"/>
        </w:tabs>
        <w:rPr>
          <w:rFonts w:ascii="Verdana" w:eastAsiaTheme="minorEastAsia" w:hAnsi="Verdana"/>
          <w:noProof/>
          <w:sz w:val="20"/>
        </w:rPr>
      </w:pPr>
      <w:hyperlink w:anchor="_Toc70500209" w:history="1">
        <w:r w:rsidRPr="0032182C">
          <w:rPr>
            <w:rStyle w:val="Hyperlink"/>
            <w:rFonts w:ascii="Verdana" w:hAnsi="Verdana"/>
            <w:noProof/>
            <w:sz w:val="20"/>
          </w:rPr>
          <w:t>XII.</w:t>
        </w:r>
        <w:r w:rsidRPr="0032182C">
          <w:rPr>
            <w:rFonts w:ascii="Verdana" w:eastAsiaTheme="minorEastAsia" w:hAnsi="Verdana"/>
            <w:noProof/>
            <w:sz w:val="20"/>
          </w:rPr>
          <w:tab/>
        </w:r>
        <w:r w:rsidRPr="0032182C">
          <w:rPr>
            <w:rStyle w:val="Hyperlink"/>
            <w:rFonts w:ascii="Verdana" w:hAnsi="Verdana"/>
            <w:noProof/>
            <w:sz w:val="20"/>
          </w:rPr>
          <w:t>TIEKĖJO PAŠALINIMAS IŠ PIRKIMO PROCEDŪRŲ</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_Toc70500209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17</w:t>
        </w:r>
        <w:r w:rsidRPr="0032182C">
          <w:rPr>
            <w:rFonts w:ascii="Verdana" w:hAnsi="Verdana"/>
            <w:noProof/>
            <w:webHidden/>
            <w:sz w:val="20"/>
          </w:rPr>
          <w:fldChar w:fldCharType="end"/>
        </w:r>
      </w:hyperlink>
    </w:p>
    <w:p w14:paraId="35B0C8E5" w14:textId="4DF43027" w:rsidR="000B3A15" w:rsidRPr="0032182C" w:rsidRDefault="000B3A15">
      <w:pPr>
        <w:pStyle w:val="TOC1"/>
        <w:tabs>
          <w:tab w:val="left" w:pos="1100"/>
        </w:tabs>
        <w:rPr>
          <w:rFonts w:ascii="Verdana" w:eastAsiaTheme="minorEastAsia" w:hAnsi="Verdana"/>
          <w:noProof/>
          <w:sz w:val="20"/>
        </w:rPr>
      </w:pPr>
      <w:hyperlink w:anchor="_Toc70500210" w:history="1">
        <w:r w:rsidRPr="0032182C">
          <w:rPr>
            <w:rStyle w:val="Hyperlink"/>
            <w:rFonts w:ascii="Verdana" w:hAnsi="Verdana"/>
            <w:noProof/>
            <w:sz w:val="20"/>
          </w:rPr>
          <w:t>XIII.</w:t>
        </w:r>
        <w:r w:rsidRPr="0032182C">
          <w:rPr>
            <w:rFonts w:ascii="Verdana" w:eastAsiaTheme="minorEastAsia" w:hAnsi="Verdana"/>
            <w:noProof/>
            <w:sz w:val="20"/>
          </w:rPr>
          <w:tab/>
        </w:r>
        <w:r w:rsidRPr="0032182C">
          <w:rPr>
            <w:rStyle w:val="Hyperlink"/>
            <w:rFonts w:ascii="Verdana" w:hAnsi="Verdana"/>
            <w:noProof/>
            <w:sz w:val="20"/>
          </w:rPr>
          <w:t>PASIŪLYMŲ NAGRINĖJIMAS IR PASIŪLYMŲ ATMETIMO PRIEŽASTYS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_Toc70500210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17</w:t>
        </w:r>
        <w:r w:rsidRPr="0032182C">
          <w:rPr>
            <w:rFonts w:ascii="Verdana" w:hAnsi="Verdana"/>
            <w:noProof/>
            <w:webHidden/>
            <w:sz w:val="20"/>
          </w:rPr>
          <w:fldChar w:fldCharType="end"/>
        </w:r>
      </w:hyperlink>
    </w:p>
    <w:p w14:paraId="5A17C8D7" w14:textId="692BC103" w:rsidR="000B3A15" w:rsidRPr="0032182C" w:rsidRDefault="000B3A15">
      <w:pPr>
        <w:pStyle w:val="TOC1"/>
        <w:tabs>
          <w:tab w:val="left" w:pos="880"/>
        </w:tabs>
        <w:rPr>
          <w:rFonts w:ascii="Verdana" w:eastAsiaTheme="minorEastAsia" w:hAnsi="Verdana"/>
          <w:noProof/>
          <w:sz w:val="20"/>
        </w:rPr>
      </w:pPr>
      <w:hyperlink w:anchor="_Toc70500211" w:history="1">
        <w:r w:rsidRPr="0032182C">
          <w:rPr>
            <w:rStyle w:val="Hyperlink"/>
            <w:rFonts w:ascii="Verdana" w:hAnsi="Verdana"/>
            <w:noProof/>
            <w:sz w:val="20"/>
          </w:rPr>
          <w:t>XIV.</w:t>
        </w:r>
        <w:r w:rsidRPr="0032182C">
          <w:rPr>
            <w:rFonts w:ascii="Verdana" w:eastAsiaTheme="minorEastAsia" w:hAnsi="Verdana"/>
            <w:noProof/>
            <w:sz w:val="20"/>
          </w:rPr>
          <w:tab/>
        </w:r>
        <w:r w:rsidRPr="0032182C">
          <w:rPr>
            <w:rStyle w:val="Hyperlink"/>
            <w:rFonts w:ascii="Verdana" w:hAnsi="Verdana"/>
            <w:noProof/>
            <w:sz w:val="20"/>
          </w:rPr>
          <w:t>PASIŪLYMŲ VERTINIMAS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_Toc70500211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19</w:t>
        </w:r>
        <w:r w:rsidRPr="0032182C">
          <w:rPr>
            <w:rFonts w:ascii="Verdana" w:hAnsi="Verdana"/>
            <w:noProof/>
            <w:webHidden/>
            <w:sz w:val="20"/>
          </w:rPr>
          <w:fldChar w:fldCharType="end"/>
        </w:r>
      </w:hyperlink>
    </w:p>
    <w:p w14:paraId="5D80BD2A" w14:textId="7EBDC62F" w:rsidR="000B3A15" w:rsidRPr="0032182C" w:rsidRDefault="000B3A15">
      <w:pPr>
        <w:pStyle w:val="TOC1"/>
        <w:rPr>
          <w:rFonts w:ascii="Verdana" w:eastAsiaTheme="minorEastAsia" w:hAnsi="Verdana"/>
          <w:noProof/>
          <w:sz w:val="20"/>
        </w:rPr>
      </w:pPr>
      <w:hyperlink w:anchor="_Toc70500212" w:history="1">
        <w:r w:rsidRPr="0032182C">
          <w:rPr>
            <w:rStyle w:val="Hyperlink"/>
            <w:rFonts w:ascii="Verdana" w:hAnsi="Verdana"/>
            <w:noProof/>
            <w:sz w:val="20"/>
          </w:rPr>
          <w:t>XV.</w:t>
        </w:r>
        <w:r w:rsidRPr="0032182C">
          <w:rPr>
            <w:rFonts w:ascii="Verdana" w:eastAsiaTheme="minorEastAsia" w:hAnsi="Verdana"/>
            <w:noProof/>
            <w:sz w:val="20"/>
          </w:rPr>
          <w:tab/>
        </w:r>
        <w:r w:rsidRPr="0032182C">
          <w:rPr>
            <w:rStyle w:val="Hyperlink"/>
            <w:rFonts w:ascii="Verdana" w:hAnsi="Verdana"/>
            <w:noProof/>
            <w:sz w:val="20"/>
          </w:rPr>
          <w:t>PASIŪLYMŲ EILĖ, SPRENDIMAS DĖL LAIMĖJUSIO PASIŪLYMO IR SUTARTIES SUDARYMO</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_Toc70500212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19</w:t>
        </w:r>
        <w:r w:rsidRPr="0032182C">
          <w:rPr>
            <w:rFonts w:ascii="Verdana" w:hAnsi="Verdana"/>
            <w:noProof/>
            <w:webHidden/>
            <w:sz w:val="20"/>
          </w:rPr>
          <w:fldChar w:fldCharType="end"/>
        </w:r>
      </w:hyperlink>
    </w:p>
    <w:p w14:paraId="2EE5E507" w14:textId="57363940" w:rsidR="000B3A15" w:rsidRPr="0032182C" w:rsidRDefault="000B3A15">
      <w:pPr>
        <w:pStyle w:val="TOC1"/>
        <w:tabs>
          <w:tab w:val="left" w:pos="880"/>
        </w:tabs>
        <w:rPr>
          <w:rFonts w:ascii="Verdana" w:eastAsiaTheme="minorEastAsia" w:hAnsi="Verdana"/>
          <w:noProof/>
          <w:sz w:val="20"/>
        </w:rPr>
      </w:pPr>
      <w:hyperlink w:anchor="_Toc70500213" w:history="1">
        <w:r w:rsidRPr="0032182C">
          <w:rPr>
            <w:rStyle w:val="Hyperlink"/>
            <w:rFonts w:ascii="Verdana" w:hAnsi="Verdana"/>
            <w:noProof/>
            <w:sz w:val="20"/>
          </w:rPr>
          <w:t>XVI.</w:t>
        </w:r>
        <w:r w:rsidRPr="0032182C">
          <w:rPr>
            <w:rFonts w:ascii="Verdana" w:eastAsiaTheme="minorEastAsia" w:hAnsi="Verdana"/>
            <w:noProof/>
            <w:sz w:val="20"/>
          </w:rPr>
          <w:tab/>
        </w:r>
        <w:r w:rsidRPr="0032182C">
          <w:rPr>
            <w:rStyle w:val="Hyperlink"/>
            <w:rFonts w:ascii="Verdana" w:hAnsi="Verdana"/>
            <w:noProof/>
            <w:sz w:val="20"/>
          </w:rPr>
          <w:t>PRETENZIJŲ, SKUNDŲ IR GINČŲ NAGRINĖJIMO TVARKA</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_Toc70500213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20</w:t>
        </w:r>
        <w:r w:rsidRPr="0032182C">
          <w:rPr>
            <w:rFonts w:ascii="Verdana" w:hAnsi="Verdana"/>
            <w:noProof/>
            <w:webHidden/>
            <w:sz w:val="20"/>
          </w:rPr>
          <w:fldChar w:fldCharType="end"/>
        </w:r>
      </w:hyperlink>
    </w:p>
    <w:p w14:paraId="448FFF2E" w14:textId="734B3B83" w:rsidR="000B3A15" w:rsidRPr="0032182C" w:rsidRDefault="000B3A15">
      <w:pPr>
        <w:pStyle w:val="TOC1"/>
        <w:tabs>
          <w:tab w:val="left" w:pos="1100"/>
        </w:tabs>
        <w:rPr>
          <w:rFonts w:ascii="Verdana" w:eastAsiaTheme="minorEastAsia" w:hAnsi="Verdana"/>
          <w:noProof/>
          <w:sz w:val="20"/>
        </w:rPr>
      </w:pPr>
      <w:hyperlink w:anchor="_Toc70500214" w:history="1">
        <w:r w:rsidRPr="0032182C">
          <w:rPr>
            <w:rStyle w:val="Hyperlink"/>
            <w:rFonts w:ascii="Verdana" w:hAnsi="Verdana"/>
            <w:noProof/>
            <w:sz w:val="20"/>
          </w:rPr>
          <w:t>XVII.</w:t>
        </w:r>
        <w:r w:rsidRPr="0032182C">
          <w:rPr>
            <w:rFonts w:ascii="Verdana" w:eastAsiaTheme="minorEastAsia" w:hAnsi="Verdana"/>
            <w:noProof/>
            <w:sz w:val="20"/>
          </w:rPr>
          <w:tab/>
        </w:r>
        <w:r w:rsidRPr="0032182C">
          <w:rPr>
            <w:rStyle w:val="Hyperlink"/>
            <w:rFonts w:ascii="Verdana" w:hAnsi="Verdana"/>
            <w:noProof/>
            <w:sz w:val="20"/>
          </w:rPr>
          <w:t>PIRKIMO SUTARTIES SĄLYGOS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_Toc70500214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20</w:t>
        </w:r>
        <w:r w:rsidRPr="0032182C">
          <w:rPr>
            <w:rFonts w:ascii="Verdana" w:hAnsi="Verdana"/>
            <w:noProof/>
            <w:webHidden/>
            <w:sz w:val="20"/>
          </w:rPr>
          <w:fldChar w:fldCharType="end"/>
        </w:r>
      </w:hyperlink>
    </w:p>
    <w:p w14:paraId="633D660B" w14:textId="6DF69174" w:rsidR="000B3A15" w:rsidRPr="0032182C" w:rsidRDefault="000B3A15">
      <w:pPr>
        <w:pStyle w:val="TOC1"/>
        <w:tabs>
          <w:tab w:val="left" w:pos="1100"/>
        </w:tabs>
        <w:rPr>
          <w:rFonts w:ascii="Verdana" w:eastAsiaTheme="minorEastAsia" w:hAnsi="Verdana"/>
          <w:noProof/>
          <w:sz w:val="20"/>
        </w:rPr>
      </w:pPr>
      <w:hyperlink w:anchor="_Toc70500215" w:history="1">
        <w:r w:rsidRPr="0032182C">
          <w:rPr>
            <w:rStyle w:val="Hyperlink"/>
            <w:rFonts w:ascii="Verdana" w:hAnsi="Verdana"/>
            <w:noProof/>
            <w:sz w:val="20"/>
          </w:rPr>
          <w:t>XVIII.</w:t>
        </w:r>
        <w:r w:rsidRPr="0032182C">
          <w:rPr>
            <w:rFonts w:ascii="Verdana" w:eastAsiaTheme="minorEastAsia" w:hAnsi="Verdana"/>
            <w:noProof/>
            <w:sz w:val="20"/>
          </w:rPr>
          <w:tab/>
        </w:r>
        <w:r w:rsidRPr="0032182C">
          <w:rPr>
            <w:rStyle w:val="Hyperlink"/>
            <w:rFonts w:ascii="Verdana" w:hAnsi="Verdana"/>
            <w:noProof/>
            <w:sz w:val="20"/>
          </w:rPr>
          <w:t>BAIGIAMOSIOS NUOSTATOS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_Toc70500215 \h </w:instrText>
        </w:r>
        <w:r w:rsidRPr="0032182C">
          <w:rPr>
            <w:rFonts w:ascii="Verdana" w:hAnsi="Verdana"/>
            <w:noProof/>
            <w:webHidden/>
            <w:sz w:val="20"/>
          </w:rPr>
        </w:r>
        <w:r w:rsidRPr="0032182C">
          <w:rPr>
            <w:rFonts w:ascii="Verdana" w:hAnsi="Verdana"/>
            <w:noProof/>
            <w:webHidden/>
            <w:sz w:val="20"/>
          </w:rPr>
          <w:fldChar w:fldCharType="separate"/>
        </w:r>
        <w:r w:rsidR="007F0433">
          <w:rPr>
            <w:rFonts w:ascii="Verdana" w:hAnsi="Verdana"/>
            <w:noProof/>
            <w:webHidden/>
            <w:sz w:val="20"/>
          </w:rPr>
          <w:t>21</w:t>
        </w:r>
        <w:r w:rsidRPr="0032182C">
          <w:rPr>
            <w:rFonts w:ascii="Verdana" w:hAnsi="Verdana"/>
            <w:noProof/>
            <w:webHidden/>
            <w:sz w:val="20"/>
          </w:rPr>
          <w:fldChar w:fldCharType="end"/>
        </w:r>
      </w:hyperlink>
    </w:p>
    <w:p w14:paraId="3A09A871" w14:textId="4580A823" w:rsidR="00D75299" w:rsidRPr="0032182C" w:rsidRDefault="00D75299" w:rsidP="00807408">
      <w:pPr>
        <w:rPr>
          <w:rFonts w:ascii="Verdana" w:hAnsi="Verdana"/>
          <w:b/>
          <w:sz w:val="20"/>
        </w:rPr>
      </w:pPr>
      <w:r w:rsidRPr="0032182C">
        <w:rPr>
          <w:rFonts w:ascii="Verdana" w:hAnsi="Verdana"/>
          <w:sz w:val="20"/>
        </w:rPr>
        <w:fldChar w:fldCharType="end"/>
      </w:r>
    </w:p>
    <w:tbl>
      <w:tblPr>
        <w:tblW w:w="10088" w:type="dxa"/>
        <w:tblLook w:val="01E0" w:firstRow="1" w:lastRow="1" w:firstColumn="1" w:lastColumn="1" w:noHBand="0" w:noVBand="0"/>
      </w:tblPr>
      <w:tblGrid>
        <w:gridCol w:w="863"/>
        <w:gridCol w:w="8176"/>
        <w:gridCol w:w="1049"/>
      </w:tblGrid>
      <w:tr w:rsidR="00A35245" w:rsidRPr="0032182C" w14:paraId="515AE0BB" w14:textId="77777777" w:rsidTr="00A35245">
        <w:trPr>
          <w:trHeight w:val="111"/>
        </w:trPr>
        <w:tc>
          <w:tcPr>
            <w:tcW w:w="863" w:type="dxa"/>
          </w:tcPr>
          <w:p w14:paraId="2E57B514" w14:textId="77777777" w:rsidR="00A35245" w:rsidRPr="0032182C" w:rsidRDefault="00A35245" w:rsidP="00D75299">
            <w:pPr>
              <w:pStyle w:val="BodyText"/>
              <w:jc w:val="left"/>
              <w:rPr>
                <w:rFonts w:ascii="Verdana" w:hAnsi="Verdana"/>
                <w:sz w:val="20"/>
                <w:szCs w:val="20"/>
                <w:lang w:val="lt-LT"/>
              </w:rPr>
            </w:pPr>
          </w:p>
        </w:tc>
        <w:tc>
          <w:tcPr>
            <w:tcW w:w="8176" w:type="dxa"/>
          </w:tcPr>
          <w:p w14:paraId="0F590AB3" w14:textId="77777777" w:rsidR="00A35245" w:rsidRPr="0032182C" w:rsidRDefault="00A35245" w:rsidP="00D75299">
            <w:pPr>
              <w:pStyle w:val="BodyText"/>
              <w:jc w:val="left"/>
              <w:rPr>
                <w:rFonts w:ascii="Verdana" w:hAnsi="Verdana"/>
                <w:sz w:val="20"/>
                <w:szCs w:val="20"/>
              </w:rPr>
            </w:pPr>
            <w:r>
              <w:rPr>
                <w:rFonts w:ascii="Verdana" w:hAnsi="Verdana"/>
                <w:sz w:val="20"/>
              </w:rPr>
              <w:t>ANNEXES:</w:t>
            </w:r>
          </w:p>
        </w:tc>
        <w:tc>
          <w:tcPr>
            <w:tcW w:w="1049" w:type="dxa"/>
          </w:tcPr>
          <w:p w14:paraId="71846355" w14:textId="77777777" w:rsidR="00A35245" w:rsidRPr="0032182C" w:rsidRDefault="00A35245" w:rsidP="00D75299">
            <w:pPr>
              <w:pStyle w:val="BodyText"/>
              <w:ind w:left="-108"/>
              <w:jc w:val="right"/>
              <w:rPr>
                <w:rFonts w:ascii="Verdana" w:hAnsi="Verdana"/>
                <w:sz w:val="20"/>
                <w:szCs w:val="20"/>
                <w:highlight w:val="yellow"/>
                <w:lang w:val="lt-LT"/>
              </w:rPr>
            </w:pPr>
          </w:p>
        </w:tc>
      </w:tr>
    </w:tbl>
    <w:p w14:paraId="1A2158A5" w14:textId="1723E820" w:rsidR="00A35245" w:rsidRPr="0032182C" w:rsidRDefault="00A35245" w:rsidP="00C621F3">
      <w:pPr>
        <w:numPr>
          <w:ilvl w:val="0"/>
          <w:numId w:val="15"/>
        </w:numPr>
        <w:tabs>
          <w:tab w:val="center" w:pos="1134"/>
          <w:tab w:val="left" w:pos="1276"/>
          <w:tab w:val="left" w:pos="2127"/>
        </w:tabs>
        <w:spacing w:after="0" w:line="240" w:lineRule="auto"/>
        <w:jc w:val="both"/>
        <w:rPr>
          <w:rFonts w:ascii="Verdana" w:hAnsi="Verdana"/>
          <w:sz w:val="20"/>
        </w:rPr>
      </w:pPr>
      <w:r>
        <w:rPr>
          <w:rFonts w:ascii="Verdana" w:hAnsi="Verdana"/>
          <w:sz w:val="20"/>
        </w:rPr>
        <w:t>Technical Specification;</w:t>
      </w:r>
    </w:p>
    <w:p w14:paraId="3CEE8C73" w14:textId="02E90979" w:rsidR="00A35245" w:rsidRPr="0032182C" w:rsidRDefault="00A35245" w:rsidP="00C621F3">
      <w:pPr>
        <w:numPr>
          <w:ilvl w:val="0"/>
          <w:numId w:val="15"/>
        </w:numPr>
        <w:tabs>
          <w:tab w:val="center" w:pos="1134"/>
          <w:tab w:val="left" w:pos="1276"/>
          <w:tab w:val="left" w:pos="2127"/>
        </w:tabs>
        <w:spacing w:after="0" w:line="240" w:lineRule="auto"/>
        <w:jc w:val="both"/>
        <w:rPr>
          <w:rFonts w:ascii="Verdana" w:hAnsi="Verdana"/>
          <w:sz w:val="20"/>
        </w:rPr>
      </w:pPr>
      <w:r>
        <w:rPr>
          <w:rFonts w:ascii="Verdana" w:hAnsi="Verdana"/>
          <w:sz w:val="20"/>
        </w:rPr>
        <w:t>Tender form;</w:t>
      </w:r>
    </w:p>
    <w:p w14:paraId="491DB649" w14:textId="77777777" w:rsidR="00F67E75" w:rsidRPr="0032182C" w:rsidRDefault="00F67E75" w:rsidP="00F67E75">
      <w:pPr>
        <w:numPr>
          <w:ilvl w:val="0"/>
          <w:numId w:val="15"/>
        </w:numPr>
        <w:tabs>
          <w:tab w:val="center" w:pos="1134"/>
          <w:tab w:val="left" w:pos="1276"/>
        </w:tabs>
        <w:spacing w:after="0" w:line="240" w:lineRule="auto"/>
        <w:jc w:val="both"/>
        <w:rPr>
          <w:rFonts w:ascii="Verdana" w:hAnsi="Verdana"/>
          <w:sz w:val="20"/>
        </w:rPr>
      </w:pPr>
      <w:r>
        <w:rPr>
          <w:rFonts w:ascii="Verdana" w:hAnsi="Verdana"/>
          <w:sz w:val="20"/>
        </w:rPr>
        <w:t>European Single Procurement Document (ESPD) form;</w:t>
      </w:r>
    </w:p>
    <w:p w14:paraId="7DEB0674" w14:textId="4716501F" w:rsidR="00A35245" w:rsidRPr="0032182C" w:rsidRDefault="00CB6E0C" w:rsidP="00C621F3">
      <w:pPr>
        <w:numPr>
          <w:ilvl w:val="0"/>
          <w:numId w:val="15"/>
        </w:numPr>
        <w:tabs>
          <w:tab w:val="center" w:pos="1134"/>
          <w:tab w:val="left" w:pos="1276"/>
          <w:tab w:val="left" w:pos="2127"/>
        </w:tabs>
        <w:spacing w:after="0" w:line="240" w:lineRule="auto"/>
        <w:jc w:val="both"/>
        <w:rPr>
          <w:rFonts w:ascii="Verdana" w:hAnsi="Verdana"/>
          <w:iCs/>
          <w:sz w:val="20"/>
        </w:rPr>
      </w:pPr>
      <w:r>
        <w:rPr>
          <w:rFonts w:ascii="Verdana" w:hAnsi="Verdana"/>
          <w:sz w:val="20"/>
        </w:rPr>
        <w:t>Draft procurement contract</w:t>
      </w:r>
    </w:p>
    <w:p w14:paraId="5DEE5A63" w14:textId="16C4D60A" w:rsidR="00A35245" w:rsidRPr="0032182C" w:rsidRDefault="00A35245" w:rsidP="00A927A3">
      <w:pPr>
        <w:tabs>
          <w:tab w:val="center" w:pos="1134"/>
          <w:tab w:val="left" w:pos="1276"/>
        </w:tabs>
        <w:spacing w:after="0" w:line="240" w:lineRule="auto"/>
        <w:jc w:val="both"/>
        <w:rPr>
          <w:rFonts w:ascii="Verdana" w:hAnsi="Verdana"/>
          <w:color w:val="00B0F0"/>
          <w:sz w:val="20"/>
          <w:lang w:eastAsia="en-US"/>
        </w:rPr>
      </w:pPr>
    </w:p>
    <w:p w14:paraId="26678D01" w14:textId="77777777" w:rsidR="00B237DA" w:rsidRPr="0032182C" w:rsidRDefault="00B237DA" w:rsidP="00A326BF">
      <w:pPr>
        <w:pStyle w:val="Heading1"/>
        <w:tabs>
          <w:tab w:val="left" w:pos="2127"/>
          <w:tab w:val="left" w:pos="3544"/>
          <w:tab w:val="left" w:pos="5245"/>
          <w:tab w:val="left" w:pos="5387"/>
        </w:tabs>
        <w:spacing w:before="240" w:after="120"/>
        <w:ind w:left="0" w:firstLine="0"/>
        <w:rPr>
          <w:rFonts w:ascii="Verdana" w:hAnsi="Verdana"/>
          <w:b/>
          <w:sz w:val="20"/>
          <w:szCs w:val="20"/>
        </w:rPr>
      </w:pPr>
      <w:bookmarkStart w:id="0" w:name="_Toc451763845"/>
      <w:bookmarkStart w:id="1" w:name="_Toc70500198"/>
      <w:r>
        <w:rPr>
          <w:rFonts w:ascii="Verdana" w:hAnsi="Verdana"/>
          <w:b/>
          <w:sz w:val="20"/>
        </w:rPr>
        <w:t>DEFINITIONS</w:t>
      </w:r>
      <w:bookmarkEnd w:id="0"/>
      <w:bookmarkEnd w:id="1"/>
    </w:p>
    <w:p w14:paraId="0F230C2C" w14:textId="77777777" w:rsidR="00B237DA" w:rsidRPr="0032182C" w:rsidRDefault="00B237DA" w:rsidP="00D75299">
      <w:pPr>
        <w:numPr>
          <w:ilvl w:val="1"/>
          <w:numId w:val="4"/>
        </w:numPr>
        <w:tabs>
          <w:tab w:val="clear" w:pos="1436"/>
          <w:tab w:val="left" w:pos="426"/>
          <w:tab w:val="num" w:pos="567"/>
        </w:tabs>
        <w:spacing w:after="0" w:line="240" w:lineRule="auto"/>
        <w:ind w:left="0" w:firstLine="0"/>
        <w:contextualSpacing/>
        <w:jc w:val="both"/>
        <w:rPr>
          <w:rFonts w:ascii="Verdana" w:hAnsi="Verdana"/>
          <w:sz w:val="20"/>
        </w:rPr>
      </w:pPr>
      <w:r>
        <w:rPr>
          <w:rFonts w:ascii="Verdana" w:hAnsi="Verdana"/>
          <w:sz w:val="20"/>
        </w:rPr>
        <w:t>The main terms used in the Procurement Documents, which correspond to the terms defined by the Law on Public Procurement:</w:t>
      </w:r>
    </w:p>
    <w:p w14:paraId="64C35724" w14:textId="261AF574"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Pr>
          <w:rFonts w:ascii="Verdana" w:hAnsi="Verdana"/>
          <w:b/>
          <w:sz w:val="20"/>
        </w:rPr>
        <w:t>“CVP IS”</w:t>
      </w:r>
      <w:r>
        <w:rPr>
          <w:rFonts w:ascii="Verdana" w:hAnsi="Verdana"/>
          <w:sz w:val="20"/>
        </w:rPr>
        <w:t xml:space="preserve"> means the Central Public Procurement Information System, available at: </w:t>
      </w:r>
      <w:hyperlink r:id="rId11" w:history="1">
        <w:r>
          <w:rPr>
            <w:rStyle w:val="Hyperlink"/>
            <w:rFonts w:ascii="Verdana" w:hAnsi="Verdana"/>
            <w:sz w:val="20"/>
          </w:rPr>
          <w:t>https://viesiejipirkimai.lt/epps/home.do</w:t>
        </w:r>
      </w:hyperlink>
      <w:r>
        <w:t>.</w:t>
      </w:r>
      <w:r>
        <w:rPr>
          <w:rFonts w:ascii="Verdana" w:hAnsi="Verdana"/>
          <w:sz w:val="20"/>
        </w:rPr>
        <w:t xml:space="preserve"> </w:t>
      </w:r>
    </w:p>
    <w:p w14:paraId="1AC78456" w14:textId="77777777" w:rsidR="009E10D2" w:rsidRPr="0032182C" w:rsidRDefault="009E10D2"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Pr>
          <w:rFonts w:ascii="Verdana" w:hAnsi="Verdana"/>
          <w:b/>
          <w:bCs/>
          <w:sz w:val="20"/>
        </w:rPr>
        <w:t>“SABIS Information System”</w:t>
      </w:r>
      <w:r>
        <w:rPr>
          <w:rFonts w:ascii="Verdana" w:hAnsi="Verdana"/>
          <w:sz w:val="20"/>
        </w:rPr>
        <w:t xml:space="preserve"> means a single invoice administration information system which is consistent with the European standard on </w:t>
      </w:r>
      <w:proofErr w:type="spellStart"/>
      <w:r>
        <w:rPr>
          <w:rFonts w:ascii="Verdana" w:hAnsi="Verdana"/>
          <w:sz w:val="20"/>
        </w:rPr>
        <w:t>eInvoicing</w:t>
      </w:r>
      <w:proofErr w:type="spellEnd"/>
      <w:r>
        <w:rPr>
          <w:rFonts w:ascii="Verdana" w:hAnsi="Verdana"/>
          <w:sz w:val="20"/>
        </w:rPr>
        <w:t xml:space="preserve">, replaces the E-Invoice system and is intended for the electronic preparation, submission and storage of invoices for supplies, services or works procured under public procurement contracts concluded in accordance with the LPP, the Republic of Lithuania Law on Public Procurement in the Fields of Defence and Security, procurement contracts concluded in accordance with the Republic of Lithuania Law on Procurement in the Fields of Water Management, Energy, Transport or Postal Services, </w:t>
      </w:r>
      <w:r>
        <w:rPr>
          <w:rFonts w:ascii="Verdana" w:hAnsi="Verdana"/>
          <w:sz w:val="20"/>
        </w:rPr>
        <w:lastRenderedPageBreak/>
        <w:t>procurement contracts for water, energy and fuel used to produce energy concluded in accordance with the exemption of the Republic of Lithuania Law on Procurement in the Fields of Water Management, Energy, Transport or Postal Services, and invoices related to domestic transactions, as well as receive information on the payment of the submitted invoices.</w:t>
      </w:r>
    </w:p>
    <w:p w14:paraId="799C9EF9" w14:textId="77777777"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Pr>
          <w:rFonts w:ascii="Verdana" w:hAnsi="Verdana"/>
          <w:b/>
          <w:sz w:val="20"/>
        </w:rPr>
        <w:t>“Committee”</w:t>
      </w:r>
      <w:r>
        <w:rPr>
          <w:rFonts w:ascii="Verdana" w:hAnsi="Verdana"/>
          <w:sz w:val="20"/>
        </w:rPr>
        <w:t xml:space="preserve"> means a committee formed by the Contracting Authority for the purpose of executing the Procurement in accordance with the procedure and requirements established by the LPP and other legal acts regulating public procurement.</w:t>
      </w:r>
    </w:p>
    <w:p w14:paraId="355689C1" w14:textId="41A7050B" w:rsidR="005B6D28" w:rsidRPr="0032182C" w:rsidRDefault="005B6D28"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Pr>
          <w:rFonts w:ascii="Verdana" w:hAnsi="Verdana"/>
          <w:b/>
          <w:sz w:val="20"/>
        </w:rPr>
        <w:t xml:space="preserve"> </w:t>
      </w:r>
      <w:r>
        <w:rPr>
          <w:rFonts w:ascii="Verdana" w:hAnsi="Verdana"/>
          <w:b/>
          <w:bCs/>
          <w:sz w:val="20"/>
        </w:rPr>
        <w:t>“Quasi-</w:t>
      </w:r>
      <w:proofErr w:type="spellStart"/>
      <w:r>
        <w:rPr>
          <w:rFonts w:ascii="Verdana" w:hAnsi="Verdana"/>
          <w:b/>
          <w:bCs/>
          <w:sz w:val="20"/>
        </w:rPr>
        <w:t>subsupplier</w:t>
      </w:r>
      <w:proofErr w:type="spellEnd"/>
      <w:r>
        <w:rPr>
          <w:rFonts w:ascii="Verdana" w:hAnsi="Verdana"/>
          <w:b/>
          <w:bCs/>
          <w:sz w:val="20"/>
        </w:rPr>
        <w:t>”</w:t>
      </w:r>
      <w:r>
        <w:rPr>
          <w:rFonts w:ascii="Verdana" w:hAnsi="Verdana"/>
          <w:sz w:val="20"/>
        </w:rPr>
        <w:t xml:space="preserve"> means a specialist whose qualifications are relied upon by the supplier and who, at the time of submission of the application or tender, is not yet an employee of the supplier, the entity engaged by the Supplier, or a </w:t>
      </w:r>
      <w:proofErr w:type="spellStart"/>
      <w:r>
        <w:rPr>
          <w:rFonts w:ascii="Verdana" w:hAnsi="Verdana"/>
          <w:sz w:val="20"/>
        </w:rPr>
        <w:t>Subsupplier</w:t>
      </w:r>
      <w:proofErr w:type="spellEnd"/>
      <w:r>
        <w:rPr>
          <w:rFonts w:ascii="Verdana" w:hAnsi="Verdana"/>
          <w:sz w:val="20"/>
        </w:rPr>
        <w:t>, but is intended to be employed if the tender is successful.</w:t>
      </w:r>
    </w:p>
    <w:p w14:paraId="34BE1AF6" w14:textId="49E7E4BF"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iCs/>
          <w:sz w:val="20"/>
        </w:rPr>
      </w:pPr>
      <w:r>
        <w:rPr>
          <w:rFonts w:ascii="Verdana" w:hAnsi="Verdana"/>
          <w:b/>
          <w:sz w:val="20"/>
        </w:rPr>
        <w:t>“Tender”</w:t>
      </w:r>
      <w:r>
        <w:rPr>
          <w:rFonts w:ascii="Verdana" w:hAnsi="Verdana"/>
          <w:sz w:val="20"/>
        </w:rPr>
        <w:t xml:space="preserve"> means the totality of the information and documents produced based on the conditions laid out in the Procurement Documents and submitted by the Supplier by electronic means with the aim of offering to supply products, provide services or complete work for the Contracting Authority in compliance with the terms and conditions laid out in the Procurement Documents (including explanations of the proposal and responses to the proposal, if any).</w:t>
      </w:r>
    </w:p>
    <w:p w14:paraId="5D1129BC" w14:textId="77777777" w:rsidR="00D75299" w:rsidRPr="0032182C" w:rsidRDefault="00D75299"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Pr>
          <w:rFonts w:ascii="Verdana" w:hAnsi="Verdana"/>
          <w:b/>
          <w:sz w:val="20"/>
        </w:rPr>
        <w:t>“Contracting Authority”, or “CA”</w:t>
      </w:r>
      <w:r>
        <w:rPr>
          <w:rFonts w:ascii="Verdana" w:hAnsi="Verdana"/>
          <w:sz w:val="20"/>
        </w:rPr>
        <w:t xml:space="preserve"> means Lietuvos </w:t>
      </w:r>
      <w:proofErr w:type="spellStart"/>
      <w:r>
        <w:rPr>
          <w:rFonts w:ascii="Verdana" w:hAnsi="Verdana"/>
          <w:sz w:val="20"/>
        </w:rPr>
        <w:t>bankas</w:t>
      </w:r>
      <w:proofErr w:type="spellEnd"/>
      <w:r>
        <w:rPr>
          <w:rFonts w:ascii="Verdana" w:hAnsi="Verdana"/>
          <w:sz w:val="20"/>
        </w:rPr>
        <w:t xml:space="preserve"> (Bank of Lithuania), entity number 188607684, address: </w:t>
      </w:r>
      <w:proofErr w:type="spellStart"/>
      <w:r>
        <w:rPr>
          <w:rFonts w:ascii="Verdana" w:hAnsi="Verdana"/>
          <w:sz w:val="20"/>
        </w:rPr>
        <w:t>Gedimino</w:t>
      </w:r>
      <w:proofErr w:type="spellEnd"/>
      <w:r>
        <w:rPr>
          <w:rFonts w:ascii="Verdana" w:hAnsi="Verdana"/>
          <w:sz w:val="20"/>
        </w:rPr>
        <w:t xml:space="preserve"> pr. 6, LT-01103 Vilnius, Lithuania, </w:t>
      </w:r>
      <w:r>
        <w:rPr>
          <w:rFonts w:ascii="Verdana" w:hAnsi="Verdana"/>
          <w:color w:val="000000"/>
          <w:sz w:val="20"/>
        </w:rPr>
        <w:t>i.e. an economic agent that meets the requirements</w:t>
      </w:r>
      <w:r>
        <w:rPr>
          <w:rFonts w:ascii="Verdana" w:hAnsi="Verdana"/>
          <w:sz w:val="20"/>
        </w:rPr>
        <w:t xml:space="preserve"> set forth in Article 2(25) of the LPP.</w:t>
      </w:r>
    </w:p>
    <w:p w14:paraId="32A97D1D" w14:textId="77777777" w:rsidR="00B237DA" w:rsidRPr="0032182C" w:rsidRDefault="00B237DA"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Pr>
          <w:rFonts w:ascii="Verdana" w:hAnsi="Verdana"/>
          <w:b/>
          <w:sz w:val="20"/>
        </w:rPr>
        <w:t>“Procurement”</w:t>
      </w:r>
      <w:r>
        <w:rPr>
          <w:rFonts w:ascii="Verdana" w:hAnsi="Verdana"/>
          <w:sz w:val="20"/>
        </w:rPr>
        <w:t xml:space="preserve"> means public procurement carried out by the Contracting Authority.</w:t>
      </w:r>
    </w:p>
    <w:p w14:paraId="2B834599" w14:textId="77777777" w:rsidR="00B237DA" w:rsidRPr="0032182C" w:rsidRDefault="00B237DA" w:rsidP="00C621F3">
      <w:pPr>
        <w:pStyle w:val="ListParagraph"/>
        <w:numPr>
          <w:ilvl w:val="0"/>
          <w:numId w:val="35"/>
        </w:numPr>
        <w:tabs>
          <w:tab w:val="left" w:pos="851"/>
        </w:tabs>
        <w:spacing w:after="0" w:line="240" w:lineRule="auto"/>
        <w:ind w:left="0" w:firstLine="0"/>
        <w:jc w:val="both"/>
        <w:rPr>
          <w:rFonts w:ascii="Verdana" w:hAnsi="Verdana"/>
          <w:sz w:val="20"/>
          <w:szCs w:val="20"/>
        </w:rPr>
      </w:pPr>
      <w:r>
        <w:rPr>
          <w:rFonts w:ascii="Verdana" w:hAnsi="Verdana"/>
          <w:b/>
          <w:sz w:val="20"/>
        </w:rPr>
        <w:t>“Procurement Documents (Conditions)”</w:t>
      </w:r>
      <w:r>
        <w:rPr>
          <w:rFonts w:ascii="Verdana" w:hAnsi="Verdana"/>
          <w:sz w:val="20"/>
        </w:rPr>
        <w:t xml:space="preserve"> means documents (</w:t>
      </w:r>
      <w:r>
        <w:rPr>
          <w:rFonts w:ascii="Verdana" w:hAnsi="Verdana"/>
          <w:i/>
          <w:iCs/>
          <w:sz w:val="20"/>
        </w:rPr>
        <w:t>including but not limited to the Procurement Conditions</w:t>
      </w:r>
      <w:r>
        <w:rPr>
          <w:rFonts w:ascii="Verdana" w:hAnsi="Verdana"/>
          <w:sz w:val="20"/>
        </w:rPr>
        <w:t xml:space="preserve">) and information the Contracting Authority presents to the Suppliers describing the procurement object and the Procurement Conditions: the contract notice, technical specification, descriptive documents, other documents and document explanations (specifications), along with all the indicated annexes as well as other information provided via CVP IS. </w:t>
      </w:r>
    </w:p>
    <w:p w14:paraId="394A54A2" w14:textId="77777777" w:rsidR="00D75299" w:rsidRPr="0032182C" w:rsidRDefault="00D75299" w:rsidP="00C621F3">
      <w:pPr>
        <w:numPr>
          <w:ilvl w:val="0"/>
          <w:numId w:val="35"/>
        </w:numPr>
        <w:tabs>
          <w:tab w:val="left" w:pos="851"/>
        </w:tabs>
        <w:spacing w:after="0" w:line="240" w:lineRule="auto"/>
        <w:ind w:left="0" w:firstLine="0"/>
        <w:contextualSpacing/>
        <w:jc w:val="both"/>
        <w:rPr>
          <w:rFonts w:ascii="Verdana" w:hAnsi="Verdana"/>
          <w:sz w:val="20"/>
        </w:rPr>
      </w:pPr>
      <w:r>
        <w:rPr>
          <w:rFonts w:ascii="Verdana" w:hAnsi="Verdana"/>
          <w:b/>
          <w:sz w:val="20"/>
        </w:rPr>
        <w:t>“Procurement Conditions”</w:t>
      </w:r>
      <w:r>
        <w:rPr>
          <w:rFonts w:ascii="Verdana" w:hAnsi="Verdana"/>
          <w:sz w:val="20"/>
        </w:rPr>
        <w:t xml:space="preserve"> means the present document, which is an integral component of the procurement documents and establishes the procurement procedure, the procedure for tender submission, assessment and evaluation, the procurement object and related requirements, the grounds for exclusion of Suppliers, their qualification requirements, requirements for tender evaluation, etc.</w:t>
      </w:r>
    </w:p>
    <w:p w14:paraId="06E76F45" w14:textId="77777777" w:rsidR="004F6402" w:rsidRPr="0032182C" w:rsidRDefault="00B237DA" w:rsidP="00C621F3">
      <w:pPr>
        <w:pStyle w:val="ListParagraph"/>
        <w:numPr>
          <w:ilvl w:val="0"/>
          <w:numId w:val="35"/>
        </w:numPr>
        <w:tabs>
          <w:tab w:val="left" w:pos="709"/>
          <w:tab w:val="left" w:pos="851"/>
        </w:tabs>
        <w:spacing w:after="0" w:line="240" w:lineRule="auto"/>
        <w:ind w:left="0" w:firstLine="0"/>
        <w:jc w:val="both"/>
        <w:rPr>
          <w:rFonts w:ascii="Verdana" w:hAnsi="Verdana"/>
          <w:sz w:val="20"/>
          <w:szCs w:val="20"/>
        </w:rPr>
      </w:pPr>
      <w:r>
        <w:rPr>
          <w:rFonts w:ascii="Verdana" w:hAnsi="Verdana"/>
          <w:b/>
          <w:sz w:val="20"/>
        </w:rPr>
        <w:t>“VAT”</w:t>
      </w:r>
      <w:r>
        <w:rPr>
          <w:rFonts w:ascii="Verdana" w:hAnsi="Verdana"/>
          <w:sz w:val="20"/>
        </w:rPr>
        <w:t xml:space="preserve"> means value-added tax. </w:t>
      </w:r>
    </w:p>
    <w:p w14:paraId="3346CAD2" w14:textId="48354C15" w:rsidR="00D75299" w:rsidRPr="0032182C" w:rsidRDefault="004F6402" w:rsidP="00C621F3">
      <w:pPr>
        <w:pStyle w:val="ListParagraph"/>
        <w:numPr>
          <w:ilvl w:val="0"/>
          <w:numId w:val="35"/>
        </w:numPr>
        <w:tabs>
          <w:tab w:val="left" w:pos="709"/>
          <w:tab w:val="left" w:pos="851"/>
        </w:tabs>
        <w:spacing w:after="0" w:line="240" w:lineRule="auto"/>
        <w:ind w:left="0" w:firstLine="0"/>
        <w:jc w:val="both"/>
        <w:rPr>
          <w:rFonts w:ascii="Verdana" w:hAnsi="Verdana"/>
          <w:sz w:val="20"/>
          <w:szCs w:val="20"/>
        </w:rPr>
      </w:pPr>
      <w:r>
        <w:rPr>
          <w:rFonts w:ascii="Verdana" w:hAnsi="Verdana"/>
          <w:b/>
          <w:bCs/>
          <w:sz w:val="20"/>
        </w:rPr>
        <w:t>“Regulation”</w:t>
      </w:r>
      <w:r>
        <w:rPr>
          <w:rFonts w:ascii="Verdana" w:hAnsi="Verdana"/>
          <w:sz w:val="20"/>
        </w:rPr>
        <w:t xml:space="preserve"> means Council Regulation (EU) 2022/576 of 8 April 2022 amending Regulation (EU) No 833/2014 concerning restrictive measures in view of Russia’s actions destabilising the situation in Ukraine.</w:t>
      </w:r>
    </w:p>
    <w:p w14:paraId="2265FE16" w14:textId="0BF7A21D" w:rsidR="00D75299" w:rsidRPr="0032182C" w:rsidRDefault="00B237DA"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Pr>
          <w:rFonts w:ascii="Verdana" w:hAnsi="Verdana"/>
          <w:b/>
          <w:bCs/>
          <w:sz w:val="20"/>
        </w:rPr>
        <w:t>“</w:t>
      </w:r>
      <w:proofErr w:type="spellStart"/>
      <w:r>
        <w:rPr>
          <w:rFonts w:ascii="Verdana" w:hAnsi="Verdana"/>
          <w:b/>
          <w:bCs/>
          <w:sz w:val="20"/>
        </w:rPr>
        <w:t>Subsupplier</w:t>
      </w:r>
      <w:proofErr w:type="spellEnd"/>
      <w:r>
        <w:rPr>
          <w:rFonts w:ascii="Verdana" w:hAnsi="Verdana"/>
          <w:b/>
          <w:bCs/>
          <w:sz w:val="20"/>
        </w:rPr>
        <w:t>”</w:t>
      </w:r>
      <w:r>
        <w:rPr>
          <w:rFonts w:ascii="Verdana" w:hAnsi="Verdana"/>
          <w:sz w:val="20"/>
        </w:rPr>
        <w:t xml:space="preserve"> means a third party engaged by the Supplier to perform the procurement contract, whose qualifications are not relied upon by the Supplier to meet the qualification requirements.</w:t>
      </w:r>
    </w:p>
    <w:p w14:paraId="1201B85D" w14:textId="77777777" w:rsidR="00D75299" w:rsidRPr="0032182C" w:rsidRDefault="00B237DA"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Pr>
          <w:rFonts w:ascii="Verdana" w:hAnsi="Verdana"/>
          <w:b/>
          <w:bCs/>
          <w:sz w:val="20"/>
        </w:rPr>
        <w:t>“Supplier”</w:t>
      </w:r>
      <w:r>
        <w:rPr>
          <w:rFonts w:ascii="Verdana" w:hAnsi="Verdana"/>
          <w:sz w:val="20"/>
        </w:rPr>
        <w:t xml:space="preserve"> means an economic entity as natural person, private or public legal entity, other organisation or their unit or a group of such entities, including temporary associations of economic entities, that offer relevant supplies, services or works.</w:t>
      </w:r>
    </w:p>
    <w:p w14:paraId="3F795A6D" w14:textId="7A9BAFD0" w:rsidR="005B6D28" w:rsidRPr="0032182C" w:rsidRDefault="005B6D28"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Pr>
          <w:rFonts w:ascii="Verdana" w:hAnsi="Verdana"/>
          <w:b/>
          <w:bCs/>
          <w:sz w:val="20"/>
        </w:rPr>
        <w:t>“Entity Engaged”</w:t>
      </w:r>
      <w:r>
        <w:rPr>
          <w:rFonts w:ascii="Verdana" w:hAnsi="Verdana"/>
          <w:sz w:val="20"/>
        </w:rPr>
        <w:t xml:space="preserve"> means a third party hired by the Supplier to perform the procurement contract, whose qualifications are relied upon by the Supplier to meet the qualification requirements.</w:t>
      </w:r>
    </w:p>
    <w:p w14:paraId="32DA3C67" w14:textId="0F364E88" w:rsidR="001C35BD" w:rsidRPr="0032182C" w:rsidRDefault="001C35BD"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Pr>
          <w:rFonts w:ascii="Verdana" w:hAnsi="Verdana"/>
          <w:b/>
          <w:sz w:val="20"/>
        </w:rPr>
        <w:t>“Public Procurement Contract (Procurement Contract)”</w:t>
      </w:r>
      <w:r>
        <w:rPr>
          <w:rFonts w:ascii="Verdana" w:hAnsi="Verdana"/>
          <w:sz w:val="20"/>
        </w:rPr>
        <w:t xml:space="preserve"> means a contract concluded in compliance with the Law on Public Procurement by Contracting Authority and successful tenderer for the purpose of procuring of the services indicated in paragraph </w:t>
      </w:r>
      <w:r w:rsidR="00741F9F" w:rsidRPr="0032182C">
        <w:rPr>
          <w:rFonts w:ascii="Verdana" w:hAnsi="Verdana"/>
          <w:sz w:val="20"/>
        </w:rPr>
        <w:fldChar w:fldCharType="begin"/>
      </w:r>
      <w:r w:rsidR="00741F9F" w:rsidRPr="0032182C">
        <w:rPr>
          <w:rFonts w:ascii="Verdana" w:hAnsi="Verdana"/>
          <w:sz w:val="20"/>
        </w:rPr>
        <w:instrText xml:space="preserve"> REF _Ref2931369 \r \h </w:instrText>
      </w:r>
      <w:r w:rsidR="00E6610E" w:rsidRPr="0032182C">
        <w:rPr>
          <w:rFonts w:ascii="Verdana" w:hAnsi="Verdana"/>
          <w:sz w:val="20"/>
        </w:rPr>
        <w:instrText xml:space="preserve"> \* MERGEFORMAT </w:instrText>
      </w:r>
      <w:r w:rsidR="00741F9F" w:rsidRPr="0032182C">
        <w:rPr>
          <w:rFonts w:ascii="Verdana" w:hAnsi="Verdana"/>
          <w:sz w:val="20"/>
        </w:rPr>
      </w:r>
      <w:r w:rsidR="00741F9F" w:rsidRPr="0032182C">
        <w:rPr>
          <w:rFonts w:ascii="Verdana" w:hAnsi="Verdana"/>
          <w:sz w:val="20"/>
        </w:rPr>
        <w:fldChar w:fldCharType="separate"/>
      </w:r>
      <w:r w:rsidR="00741F9F" w:rsidRPr="0032182C">
        <w:rPr>
          <w:rFonts w:ascii="Verdana" w:hAnsi="Verdana"/>
          <w:sz w:val="20"/>
        </w:rPr>
        <w:t>2.1</w:t>
      </w:r>
      <w:r w:rsidR="00741F9F" w:rsidRPr="0032182C">
        <w:rPr>
          <w:rFonts w:ascii="Verdana" w:hAnsi="Verdana"/>
          <w:sz w:val="20"/>
        </w:rPr>
        <w:fldChar w:fldCharType="end"/>
      </w:r>
      <w:r>
        <w:rPr>
          <w:rFonts w:ascii="Verdana" w:hAnsi="Verdana"/>
          <w:sz w:val="20"/>
        </w:rPr>
        <w:t xml:space="preserve"> of the Procurement Conditions. </w:t>
      </w:r>
    </w:p>
    <w:p w14:paraId="1D85C219" w14:textId="77777777" w:rsidR="00D75299" w:rsidRPr="0032182C" w:rsidRDefault="003F40B4" w:rsidP="00C621F3">
      <w:pPr>
        <w:numPr>
          <w:ilvl w:val="0"/>
          <w:numId w:val="35"/>
        </w:numPr>
        <w:tabs>
          <w:tab w:val="left" w:pos="284"/>
          <w:tab w:val="left" w:pos="851"/>
        </w:tabs>
        <w:autoSpaceDE w:val="0"/>
        <w:autoSpaceDN w:val="0"/>
        <w:adjustRightInd w:val="0"/>
        <w:spacing w:after="0" w:line="240" w:lineRule="auto"/>
        <w:ind w:left="0" w:firstLine="0"/>
        <w:contextualSpacing/>
        <w:jc w:val="both"/>
        <w:rPr>
          <w:rFonts w:ascii="Verdana" w:hAnsi="Verdana"/>
          <w:color w:val="000000"/>
          <w:sz w:val="20"/>
        </w:rPr>
      </w:pPr>
      <w:r>
        <w:rPr>
          <w:rFonts w:ascii="Verdana" w:hAnsi="Verdana"/>
          <w:b/>
          <w:sz w:val="20"/>
        </w:rPr>
        <w:t>“Law on Public Procurement”, or “LPP”</w:t>
      </w:r>
      <w:r>
        <w:rPr>
          <w:rFonts w:ascii="Verdana" w:hAnsi="Verdana"/>
          <w:sz w:val="20"/>
        </w:rPr>
        <w:t xml:space="preserve"> means </w:t>
      </w:r>
      <w:r>
        <w:rPr>
          <w:rFonts w:ascii="Verdana" w:hAnsi="Verdana"/>
          <w:color w:val="000000"/>
          <w:sz w:val="20"/>
        </w:rPr>
        <w:t xml:space="preserve">the Republic of Lithuania Law on Public Procurement (the version that is in force at the beginning of the Procurement procedure, unless otherwise established in the legal acts). </w:t>
      </w:r>
    </w:p>
    <w:p w14:paraId="672797D2" w14:textId="77777777" w:rsidR="00FD4ACC" w:rsidRPr="0032182C" w:rsidRDefault="00FD4ACC" w:rsidP="005B6D28">
      <w:pPr>
        <w:pStyle w:val="Heading1"/>
        <w:spacing w:before="240" w:after="120"/>
        <w:ind w:left="1560" w:hanging="142"/>
        <w:rPr>
          <w:rFonts w:ascii="Verdana" w:hAnsi="Verdana"/>
          <w:b/>
          <w:sz w:val="20"/>
          <w:szCs w:val="20"/>
        </w:rPr>
      </w:pPr>
      <w:bookmarkStart w:id="2" w:name="_Toc70500199"/>
      <w:r>
        <w:rPr>
          <w:rFonts w:ascii="Verdana" w:hAnsi="Verdana"/>
          <w:b/>
          <w:sz w:val="20"/>
        </w:rPr>
        <w:t>PRINCIPAL PROCUREMENT CONDITIONS</w:t>
      </w:r>
      <w:bookmarkEnd w:id="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273"/>
      </w:tblGrid>
      <w:tr w:rsidR="00F444B4" w:rsidRPr="0032182C" w14:paraId="22A0F102" w14:textId="77777777" w:rsidTr="006E4D5D">
        <w:tc>
          <w:tcPr>
            <w:tcW w:w="4503" w:type="dxa"/>
            <w:vAlign w:val="center"/>
          </w:tcPr>
          <w:p w14:paraId="57BD29A2" w14:textId="77777777" w:rsidR="00F444B4" w:rsidRPr="0032182C" w:rsidRDefault="00F444B4" w:rsidP="00D75299">
            <w:pPr>
              <w:numPr>
                <w:ilvl w:val="0"/>
                <w:numId w:val="2"/>
              </w:numPr>
              <w:spacing w:after="0" w:line="240" w:lineRule="auto"/>
              <w:ind w:left="426" w:hanging="426"/>
              <w:rPr>
                <w:rFonts w:ascii="Verdana" w:hAnsi="Verdana"/>
                <w:sz w:val="20"/>
              </w:rPr>
            </w:pPr>
            <w:bookmarkStart w:id="3" w:name="_Ref2931369"/>
            <w:r>
              <w:rPr>
                <w:rFonts w:ascii="Verdana" w:hAnsi="Verdana"/>
                <w:sz w:val="20"/>
              </w:rPr>
              <w:t>Object of procurement</w:t>
            </w:r>
            <w:bookmarkEnd w:id="3"/>
          </w:p>
        </w:tc>
        <w:tc>
          <w:tcPr>
            <w:tcW w:w="5273" w:type="dxa"/>
            <w:vAlign w:val="center"/>
          </w:tcPr>
          <w:p w14:paraId="597F6C6F" w14:textId="1BADCEA9" w:rsidR="00F444B4" w:rsidRPr="0032182C" w:rsidRDefault="00CE53B4" w:rsidP="00FD7237">
            <w:pPr>
              <w:spacing w:after="0" w:line="240" w:lineRule="auto"/>
              <w:jc w:val="both"/>
              <w:rPr>
                <w:rFonts w:ascii="Verdana" w:hAnsi="Verdana"/>
                <w:sz w:val="20"/>
              </w:rPr>
            </w:pPr>
            <w:r>
              <w:rPr>
                <w:rFonts w:ascii="Verdana" w:hAnsi="Verdana"/>
                <w:sz w:val="20"/>
              </w:rPr>
              <w:t>CENTROlink system insurance services</w:t>
            </w:r>
          </w:p>
        </w:tc>
      </w:tr>
      <w:tr w:rsidR="00F444B4" w:rsidRPr="0032182C" w14:paraId="683E23A3" w14:textId="77777777" w:rsidTr="006E4D5D">
        <w:tc>
          <w:tcPr>
            <w:tcW w:w="4503" w:type="dxa"/>
            <w:vAlign w:val="center"/>
          </w:tcPr>
          <w:p w14:paraId="5DA9F028" w14:textId="77777777" w:rsidR="00F444B4" w:rsidRPr="0032182C" w:rsidRDefault="00F444B4" w:rsidP="00D75299">
            <w:pPr>
              <w:numPr>
                <w:ilvl w:val="0"/>
                <w:numId w:val="2"/>
              </w:numPr>
              <w:spacing w:after="0" w:line="240" w:lineRule="auto"/>
              <w:ind w:left="426" w:hanging="426"/>
              <w:rPr>
                <w:rFonts w:ascii="Verdana" w:hAnsi="Verdana"/>
                <w:sz w:val="20"/>
              </w:rPr>
            </w:pPr>
            <w:r>
              <w:rPr>
                <w:rFonts w:ascii="Verdana" w:hAnsi="Verdana"/>
                <w:sz w:val="20"/>
              </w:rPr>
              <w:t>Procurement method</w:t>
            </w:r>
          </w:p>
        </w:tc>
        <w:tc>
          <w:tcPr>
            <w:tcW w:w="5273" w:type="dxa"/>
            <w:vAlign w:val="center"/>
          </w:tcPr>
          <w:p w14:paraId="5CDE25D5" w14:textId="77777777" w:rsidR="00F444B4" w:rsidRPr="0032182C" w:rsidRDefault="00F444B4" w:rsidP="0033037F">
            <w:pPr>
              <w:spacing w:after="0" w:line="240" w:lineRule="auto"/>
              <w:jc w:val="both"/>
              <w:rPr>
                <w:rFonts w:ascii="Verdana" w:hAnsi="Verdana"/>
                <w:sz w:val="20"/>
              </w:rPr>
            </w:pPr>
            <w:r>
              <w:rPr>
                <w:rFonts w:ascii="Verdana" w:hAnsi="Verdana"/>
                <w:sz w:val="20"/>
              </w:rPr>
              <w:t xml:space="preserve">Open tender </w:t>
            </w:r>
          </w:p>
        </w:tc>
      </w:tr>
      <w:tr w:rsidR="00F444B4" w:rsidRPr="0032182C" w14:paraId="60D9388C" w14:textId="77777777" w:rsidTr="006E4D5D">
        <w:trPr>
          <w:trHeight w:val="332"/>
        </w:trPr>
        <w:tc>
          <w:tcPr>
            <w:tcW w:w="4503" w:type="dxa"/>
            <w:vAlign w:val="center"/>
          </w:tcPr>
          <w:p w14:paraId="1FD87307" w14:textId="77777777" w:rsidR="00420CF0" w:rsidRPr="0032182C" w:rsidRDefault="00F444B4" w:rsidP="00D75299">
            <w:pPr>
              <w:numPr>
                <w:ilvl w:val="0"/>
                <w:numId w:val="2"/>
              </w:numPr>
              <w:spacing w:after="0" w:line="240" w:lineRule="auto"/>
              <w:ind w:left="426" w:hanging="426"/>
              <w:rPr>
                <w:rFonts w:ascii="Verdana" w:hAnsi="Verdana"/>
                <w:sz w:val="20"/>
              </w:rPr>
            </w:pPr>
            <w:r>
              <w:rPr>
                <w:rFonts w:ascii="Verdana" w:hAnsi="Verdana"/>
                <w:sz w:val="20"/>
              </w:rPr>
              <w:t>Deadline for the submission of tenders</w:t>
            </w:r>
          </w:p>
        </w:tc>
        <w:tc>
          <w:tcPr>
            <w:tcW w:w="5273" w:type="dxa"/>
            <w:vAlign w:val="center"/>
          </w:tcPr>
          <w:p w14:paraId="0264A729" w14:textId="77777777" w:rsidR="00787C48" w:rsidRPr="0032182C" w:rsidRDefault="008A19DF" w:rsidP="00787C48">
            <w:pPr>
              <w:spacing w:after="0" w:line="240" w:lineRule="auto"/>
              <w:jc w:val="both"/>
              <w:rPr>
                <w:rFonts w:ascii="Verdana" w:hAnsi="Verdana"/>
                <w:sz w:val="20"/>
              </w:rPr>
            </w:pPr>
            <w:r>
              <w:rPr>
                <w:rFonts w:ascii="Verdana" w:hAnsi="Verdana"/>
                <w:sz w:val="20"/>
              </w:rPr>
              <w:t>Specified in the notice. The Contracting Authority shall have the right to extend the deadline for the submission Tenders.</w:t>
            </w:r>
          </w:p>
          <w:p w14:paraId="34762DFC" w14:textId="30DEA6A3" w:rsidR="00F444B4" w:rsidRPr="0032182C" w:rsidRDefault="00787C48" w:rsidP="00CE53B4">
            <w:pPr>
              <w:spacing w:after="60" w:line="240" w:lineRule="auto"/>
              <w:jc w:val="both"/>
              <w:rPr>
                <w:rFonts w:ascii="Verdana" w:hAnsi="Verdana"/>
                <w:bCs/>
                <w:sz w:val="20"/>
              </w:rPr>
            </w:pPr>
            <w:r>
              <w:rPr>
                <w:rFonts w:ascii="Verdana" w:hAnsi="Verdana"/>
                <w:sz w:val="20"/>
              </w:rPr>
              <w:lastRenderedPageBreak/>
              <w:t>Tenders submitted by mail, courier or in person will be returned to the sender (the Tender will not be considered).</w:t>
            </w:r>
          </w:p>
        </w:tc>
      </w:tr>
      <w:tr w:rsidR="00420CF0" w:rsidRPr="0032182C" w14:paraId="4B6A5327" w14:textId="77777777" w:rsidTr="006E4D5D">
        <w:trPr>
          <w:trHeight w:val="209"/>
        </w:trPr>
        <w:tc>
          <w:tcPr>
            <w:tcW w:w="4503" w:type="dxa"/>
            <w:vAlign w:val="center"/>
          </w:tcPr>
          <w:p w14:paraId="479EA131" w14:textId="77777777" w:rsidR="00420CF0" w:rsidRPr="0032182C" w:rsidRDefault="00420CF0" w:rsidP="00D75299">
            <w:pPr>
              <w:numPr>
                <w:ilvl w:val="0"/>
                <w:numId w:val="2"/>
              </w:numPr>
              <w:tabs>
                <w:tab w:val="center" w:pos="426"/>
                <w:tab w:val="left" w:pos="1276"/>
                <w:tab w:val="left" w:pos="2127"/>
              </w:tabs>
              <w:autoSpaceDE w:val="0"/>
              <w:autoSpaceDN w:val="0"/>
              <w:adjustRightInd w:val="0"/>
              <w:spacing w:after="0" w:line="240" w:lineRule="auto"/>
              <w:ind w:left="426" w:hanging="426"/>
              <w:rPr>
                <w:rFonts w:ascii="Verdana" w:hAnsi="Verdana"/>
                <w:sz w:val="20"/>
              </w:rPr>
            </w:pPr>
            <w:r>
              <w:rPr>
                <w:rFonts w:ascii="Verdana" w:hAnsi="Verdana"/>
                <w:sz w:val="20"/>
              </w:rPr>
              <w:lastRenderedPageBreak/>
              <w:t>The preliminary sitting for the first introduction to Tenders submitted via CVP IS (the Tender opening) is set for:</w:t>
            </w:r>
          </w:p>
        </w:tc>
        <w:tc>
          <w:tcPr>
            <w:tcW w:w="5273" w:type="dxa"/>
            <w:vAlign w:val="center"/>
          </w:tcPr>
          <w:p w14:paraId="3958B222" w14:textId="24E25898" w:rsidR="00420CF0" w:rsidRPr="0032182C" w:rsidRDefault="00B008ED" w:rsidP="005B6D28">
            <w:pPr>
              <w:spacing w:after="0" w:line="240" w:lineRule="auto"/>
              <w:rPr>
                <w:rFonts w:ascii="Verdana" w:hAnsi="Verdana"/>
                <w:b/>
                <w:sz w:val="20"/>
              </w:rPr>
            </w:pPr>
            <w:r>
              <w:rPr>
                <w:rFonts w:ascii="Verdana" w:hAnsi="Verdana"/>
                <w:sz w:val="20"/>
              </w:rPr>
              <w:t xml:space="preserve">No earlier than </w:t>
            </w:r>
            <w:r>
              <w:rPr>
                <w:rFonts w:ascii="Verdana" w:hAnsi="Verdana"/>
                <w:color w:val="000000" w:themeColor="text1"/>
                <w:sz w:val="20"/>
              </w:rPr>
              <w:t>30 minutes after</w:t>
            </w:r>
            <w:r>
              <w:rPr>
                <w:rFonts w:ascii="Verdana" w:hAnsi="Verdana"/>
                <w:sz w:val="20"/>
              </w:rPr>
              <w:t xml:space="preserve"> the deadline for submission of Tenders.</w:t>
            </w:r>
          </w:p>
        </w:tc>
      </w:tr>
      <w:tr w:rsidR="00F444B4" w:rsidRPr="0032182C" w14:paraId="39CD6A4E" w14:textId="77777777" w:rsidTr="006E4D5D">
        <w:tc>
          <w:tcPr>
            <w:tcW w:w="4503" w:type="dxa"/>
            <w:vAlign w:val="center"/>
          </w:tcPr>
          <w:p w14:paraId="49444811" w14:textId="77777777" w:rsidR="00F444B4" w:rsidRPr="0032182C" w:rsidRDefault="00CF5995" w:rsidP="00D75299">
            <w:pPr>
              <w:numPr>
                <w:ilvl w:val="0"/>
                <w:numId w:val="2"/>
              </w:numPr>
              <w:spacing w:after="0" w:line="240" w:lineRule="auto"/>
              <w:ind w:left="426" w:hanging="426"/>
              <w:rPr>
                <w:rFonts w:ascii="Verdana" w:hAnsi="Verdana"/>
                <w:sz w:val="20"/>
              </w:rPr>
            </w:pPr>
            <w:r>
              <w:rPr>
                <w:rFonts w:ascii="Verdana" w:hAnsi="Verdana"/>
                <w:sz w:val="20"/>
              </w:rPr>
              <w:t>Award criterion: most economically advantageous Tender</w:t>
            </w:r>
          </w:p>
        </w:tc>
        <w:tc>
          <w:tcPr>
            <w:tcW w:w="5273" w:type="dxa"/>
            <w:vAlign w:val="center"/>
          </w:tcPr>
          <w:p w14:paraId="26D8E8F5" w14:textId="6D5BC0D2" w:rsidR="00F444B4" w:rsidRPr="0032182C" w:rsidRDefault="00F444B4" w:rsidP="00950FB8">
            <w:pPr>
              <w:spacing w:after="0" w:line="240" w:lineRule="auto"/>
              <w:jc w:val="both"/>
              <w:rPr>
                <w:rFonts w:ascii="Verdana" w:hAnsi="Verdana"/>
                <w:b/>
                <w:sz w:val="20"/>
              </w:rPr>
            </w:pPr>
            <w:r>
              <w:rPr>
                <w:rStyle w:val="Palatinobold"/>
                <w:rFonts w:ascii="Verdana" w:hAnsi="Verdana"/>
                <w:b w:val="0"/>
                <w:sz w:val="20"/>
              </w:rPr>
              <w:t>Tenders not rejected by the Contracting Authority shall be evaluated according to the lowest price criterion</w:t>
            </w:r>
            <w:r>
              <w:rPr>
                <w:rFonts w:ascii="Verdana" w:hAnsi="Verdana"/>
                <w:sz w:val="20"/>
              </w:rPr>
              <w:t>.</w:t>
            </w:r>
          </w:p>
        </w:tc>
      </w:tr>
      <w:tr w:rsidR="00F444B4" w:rsidRPr="0032182C" w14:paraId="7413ECBF" w14:textId="77777777" w:rsidTr="006E4D5D">
        <w:tc>
          <w:tcPr>
            <w:tcW w:w="4503" w:type="dxa"/>
            <w:vAlign w:val="center"/>
          </w:tcPr>
          <w:p w14:paraId="0A3CE13D" w14:textId="2EECB4FC" w:rsidR="00F444B4" w:rsidRPr="0032182C" w:rsidRDefault="00F444B4" w:rsidP="00D75299">
            <w:pPr>
              <w:numPr>
                <w:ilvl w:val="0"/>
                <w:numId w:val="2"/>
              </w:numPr>
              <w:spacing w:after="0" w:line="240" w:lineRule="auto"/>
              <w:ind w:left="426" w:hanging="426"/>
              <w:rPr>
                <w:rFonts w:ascii="Verdana" w:hAnsi="Verdana"/>
                <w:sz w:val="20"/>
              </w:rPr>
            </w:pPr>
            <w:r>
              <w:rPr>
                <w:rFonts w:ascii="Verdana" w:hAnsi="Verdana"/>
                <w:sz w:val="20"/>
              </w:rPr>
              <w:t>Time limits for the delivery of services</w:t>
            </w:r>
          </w:p>
        </w:tc>
        <w:tc>
          <w:tcPr>
            <w:tcW w:w="5273" w:type="dxa"/>
            <w:vAlign w:val="center"/>
          </w:tcPr>
          <w:p w14:paraId="54D3E92B" w14:textId="1891A575" w:rsidR="00F444B4" w:rsidRPr="0032182C" w:rsidRDefault="00A21505" w:rsidP="00A04E2C">
            <w:pPr>
              <w:spacing w:after="0" w:line="240" w:lineRule="auto"/>
              <w:jc w:val="both"/>
              <w:rPr>
                <w:rFonts w:ascii="Verdana" w:hAnsi="Verdana"/>
                <w:i/>
                <w:color w:val="FF0000"/>
                <w:sz w:val="20"/>
              </w:rPr>
            </w:pPr>
            <w:r>
              <w:rPr>
                <w:rFonts w:ascii="Verdana" w:hAnsi="Verdana"/>
                <w:sz w:val="20"/>
              </w:rPr>
              <w:t>Indicated in the Technical Specification</w:t>
            </w:r>
          </w:p>
        </w:tc>
      </w:tr>
      <w:tr w:rsidR="00F444B4" w:rsidRPr="0032182C" w14:paraId="1D51B1AA" w14:textId="77777777" w:rsidTr="006E4D5D">
        <w:tc>
          <w:tcPr>
            <w:tcW w:w="4503" w:type="dxa"/>
            <w:vAlign w:val="center"/>
          </w:tcPr>
          <w:p w14:paraId="3AD96DE6" w14:textId="773FB75A" w:rsidR="00F444B4" w:rsidRPr="0032182C" w:rsidRDefault="004D5F38" w:rsidP="00D75299">
            <w:pPr>
              <w:numPr>
                <w:ilvl w:val="0"/>
                <w:numId w:val="2"/>
              </w:numPr>
              <w:spacing w:after="0" w:line="240" w:lineRule="auto"/>
              <w:ind w:left="426" w:hanging="426"/>
              <w:rPr>
                <w:rFonts w:ascii="Verdana" w:hAnsi="Verdana"/>
                <w:sz w:val="20"/>
              </w:rPr>
            </w:pPr>
            <w:r>
              <w:rPr>
                <w:rFonts w:ascii="Verdana" w:hAnsi="Verdana"/>
                <w:sz w:val="20"/>
              </w:rPr>
              <w:t>Address of the delivery of services</w:t>
            </w:r>
          </w:p>
        </w:tc>
        <w:tc>
          <w:tcPr>
            <w:tcW w:w="5273" w:type="dxa"/>
            <w:tcBorders>
              <w:bottom w:val="single" w:sz="4" w:space="0" w:color="auto"/>
            </w:tcBorders>
            <w:vAlign w:val="center"/>
          </w:tcPr>
          <w:p w14:paraId="72DC31E4" w14:textId="26854376" w:rsidR="00F444B4" w:rsidRPr="0032182C" w:rsidRDefault="00F444B4" w:rsidP="00D75299">
            <w:pPr>
              <w:spacing w:after="0" w:line="240" w:lineRule="auto"/>
              <w:jc w:val="both"/>
              <w:rPr>
                <w:rFonts w:ascii="Verdana" w:hAnsi="Verdana"/>
                <w:sz w:val="20"/>
              </w:rPr>
            </w:pPr>
            <w:r>
              <w:rPr>
                <w:rFonts w:ascii="Verdana" w:hAnsi="Verdana"/>
                <w:sz w:val="20"/>
              </w:rPr>
              <w:t>Indicated in the Technical Specification</w:t>
            </w:r>
          </w:p>
        </w:tc>
      </w:tr>
      <w:tr w:rsidR="00F444B4" w:rsidRPr="0032182C" w14:paraId="72C873C1" w14:textId="77777777" w:rsidTr="006E4D5D">
        <w:tc>
          <w:tcPr>
            <w:tcW w:w="4503" w:type="dxa"/>
            <w:tcBorders>
              <w:right w:val="single" w:sz="4" w:space="0" w:color="auto"/>
            </w:tcBorders>
            <w:vAlign w:val="center"/>
          </w:tcPr>
          <w:p w14:paraId="67ABC947" w14:textId="77777777" w:rsidR="00F444B4" w:rsidRPr="0032182C" w:rsidRDefault="00706B14" w:rsidP="005E0E66">
            <w:pPr>
              <w:numPr>
                <w:ilvl w:val="0"/>
                <w:numId w:val="2"/>
              </w:numPr>
              <w:spacing w:after="0" w:line="240" w:lineRule="auto"/>
              <w:ind w:left="426" w:hanging="426"/>
              <w:rPr>
                <w:rFonts w:ascii="Verdana" w:hAnsi="Verdana"/>
                <w:sz w:val="20"/>
              </w:rPr>
            </w:pPr>
            <w:r>
              <w:rPr>
                <w:rFonts w:ascii="Verdana" w:hAnsi="Verdana"/>
                <w:sz w:val="20"/>
              </w:rPr>
              <w:t>The contact persons of the CA will be tasked with keeping in touch with Suppliers and providing them with information relevant to the Procurement procedure (all information, explanations of Procurement Conditions, messages and other correspondence between the CA and Suppliers is to be provided only via CVP IS)</w:t>
            </w:r>
          </w:p>
        </w:tc>
        <w:tc>
          <w:tcPr>
            <w:tcW w:w="5273" w:type="dxa"/>
            <w:tcBorders>
              <w:top w:val="single" w:sz="4" w:space="0" w:color="auto"/>
              <w:left w:val="single" w:sz="4" w:space="0" w:color="auto"/>
              <w:bottom w:val="single" w:sz="4" w:space="0" w:color="auto"/>
              <w:right w:val="single" w:sz="4" w:space="0" w:color="auto"/>
            </w:tcBorders>
            <w:vAlign w:val="center"/>
          </w:tcPr>
          <w:p w14:paraId="3EE56A40" w14:textId="2012ABAF" w:rsidR="00933CFF" w:rsidRPr="0032182C" w:rsidRDefault="00B3738F" w:rsidP="00933CFF">
            <w:pPr>
              <w:spacing w:after="0" w:line="240" w:lineRule="auto"/>
              <w:rPr>
                <w:rFonts w:ascii="Verdana" w:hAnsi="Verdana"/>
                <w:sz w:val="20"/>
              </w:rPr>
            </w:pPr>
            <w:r>
              <w:rPr>
                <w:rFonts w:ascii="Verdana" w:hAnsi="Verdana"/>
                <w:sz w:val="20"/>
              </w:rPr>
              <w:t>Gintautas Aleksa</w:t>
            </w:r>
          </w:p>
          <w:p w14:paraId="0229FC29" w14:textId="7B2BB01D" w:rsidR="00933CFF" w:rsidRPr="0032182C" w:rsidRDefault="00B3738F" w:rsidP="00933CFF">
            <w:pPr>
              <w:spacing w:after="0" w:line="240" w:lineRule="auto"/>
              <w:rPr>
                <w:rFonts w:ascii="Verdana" w:hAnsi="Verdana"/>
                <w:sz w:val="20"/>
              </w:rPr>
            </w:pPr>
            <w:r>
              <w:rPr>
                <w:rFonts w:ascii="Verdana" w:hAnsi="Verdana"/>
                <w:sz w:val="20"/>
              </w:rPr>
              <w:t>Phone: +</w:t>
            </w:r>
            <w:r>
              <w:t xml:space="preserve"> </w:t>
            </w:r>
            <w:r>
              <w:rPr>
                <w:rFonts w:ascii="Verdana" w:hAnsi="Verdana"/>
                <w:sz w:val="20"/>
              </w:rPr>
              <w:t xml:space="preserve">370 652 95 304, </w:t>
            </w:r>
          </w:p>
          <w:p w14:paraId="1FBB5B62" w14:textId="6B5B0999" w:rsidR="00933CFF" w:rsidRPr="0032182C" w:rsidRDefault="00933CFF" w:rsidP="00933CFF">
            <w:pPr>
              <w:spacing w:after="0" w:line="240" w:lineRule="auto"/>
              <w:rPr>
                <w:rFonts w:ascii="Verdana" w:hAnsi="Verdana"/>
                <w:sz w:val="20"/>
              </w:rPr>
            </w:pPr>
            <w:proofErr w:type="spellStart"/>
            <w:r>
              <w:rPr>
                <w:rFonts w:ascii="Verdana" w:hAnsi="Verdana"/>
                <w:sz w:val="20"/>
              </w:rPr>
              <w:t>e-mail:</w:t>
            </w:r>
            <w:hyperlink r:id="rId12" w:history="1">
              <w:r>
                <w:rPr>
                  <w:rStyle w:val="Hyperlink"/>
                </w:rPr>
                <w:t>galeksa@lb.lt</w:t>
              </w:r>
              <w:proofErr w:type="spellEnd"/>
            </w:hyperlink>
          </w:p>
          <w:p w14:paraId="6CF30C9C" w14:textId="51E45032" w:rsidR="00F444B4" w:rsidRPr="0032182C" w:rsidRDefault="00F444B4" w:rsidP="00B3738F">
            <w:pPr>
              <w:spacing w:after="0" w:line="240" w:lineRule="auto"/>
              <w:rPr>
                <w:rFonts w:ascii="Verdana" w:hAnsi="Verdana"/>
                <w:sz w:val="20"/>
              </w:rPr>
            </w:pPr>
          </w:p>
        </w:tc>
      </w:tr>
      <w:tr w:rsidR="00F444B4" w:rsidRPr="0032182C" w14:paraId="5F82AAF8" w14:textId="77777777" w:rsidTr="006E4D5D">
        <w:tc>
          <w:tcPr>
            <w:tcW w:w="4503" w:type="dxa"/>
            <w:vAlign w:val="center"/>
          </w:tcPr>
          <w:p w14:paraId="67471C3D" w14:textId="77777777" w:rsidR="00F444B4" w:rsidRPr="0032182C" w:rsidRDefault="00F444B4" w:rsidP="00D75299">
            <w:pPr>
              <w:numPr>
                <w:ilvl w:val="0"/>
                <w:numId w:val="2"/>
              </w:numPr>
              <w:spacing w:after="0" w:line="240" w:lineRule="auto"/>
              <w:ind w:left="426" w:hanging="426"/>
              <w:rPr>
                <w:rFonts w:ascii="Verdana" w:hAnsi="Verdana"/>
                <w:sz w:val="20"/>
              </w:rPr>
            </w:pPr>
            <w:r>
              <w:rPr>
                <w:rFonts w:ascii="Verdana" w:hAnsi="Verdana"/>
                <w:sz w:val="20"/>
              </w:rPr>
              <w:t>Division of procurement into lots</w:t>
            </w:r>
          </w:p>
        </w:tc>
        <w:tc>
          <w:tcPr>
            <w:tcW w:w="5273" w:type="dxa"/>
            <w:tcBorders>
              <w:top w:val="single" w:sz="4" w:space="0" w:color="auto"/>
            </w:tcBorders>
            <w:vAlign w:val="center"/>
          </w:tcPr>
          <w:p w14:paraId="1F68CA5A" w14:textId="4BC33141" w:rsidR="00F444B4" w:rsidRPr="0032182C" w:rsidRDefault="00933CFF" w:rsidP="00873027">
            <w:pPr>
              <w:spacing w:after="0" w:line="240" w:lineRule="auto"/>
              <w:jc w:val="both"/>
              <w:rPr>
                <w:rFonts w:ascii="Verdana" w:hAnsi="Verdana"/>
                <w:sz w:val="20"/>
              </w:rPr>
            </w:pPr>
            <w:r>
              <w:rPr>
                <w:rStyle w:val="Stilius25"/>
                <w:rFonts w:ascii="Verdana" w:hAnsi="Verdana"/>
                <w:sz w:val="20"/>
              </w:rPr>
              <w:t>This procurement will not be divided into lots. The Suppliers must make offers regarding the entire scope of the procurement object.</w:t>
            </w:r>
          </w:p>
        </w:tc>
      </w:tr>
      <w:tr w:rsidR="00F444B4" w:rsidRPr="0032182C" w14:paraId="16C36EA2" w14:textId="77777777" w:rsidTr="006E4D5D">
        <w:tc>
          <w:tcPr>
            <w:tcW w:w="4503" w:type="dxa"/>
            <w:vAlign w:val="center"/>
          </w:tcPr>
          <w:p w14:paraId="3C0116E0" w14:textId="77777777" w:rsidR="00F444B4" w:rsidRPr="0032182C" w:rsidRDefault="003B687D" w:rsidP="00204A18">
            <w:pPr>
              <w:numPr>
                <w:ilvl w:val="0"/>
                <w:numId w:val="2"/>
              </w:numPr>
              <w:tabs>
                <w:tab w:val="left" w:pos="567"/>
              </w:tabs>
              <w:spacing w:after="0" w:line="240" w:lineRule="auto"/>
              <w:ind w:left="426" w:hanging="426"/>
              <w:rPr>
                <w:rFonts w:ascii="Verdana" w:hAnsi="Verdana"/>
                <w:sz w:val="20"/>
              </w:rPr>
            </w:pPr>
            <w:r>
              <w:rPr>
                <w:rFonts w:ascii="Verdana" w:hAnsi="Verdana"/>
                <w:sz w:val="20"/>
              </w:rPr>
              <w:t xml:space="preserve"> Tender security</w:t>
            </w:r>
          </w:p>
        </w:tc>
        <w:tc>
          <w:tcPr>
            <w:tcW w:w="5273" w:type="dxa"/>
            <w:vAlign w:val="center"/>
          </w:tcPr>
          <w:p w14:paraId="397A62C6" w14:textId="1A455F82" w:rsidR="00F444B4" w:rsidRPr="0032182C" w:rsidRDefault="00F444B4" w:rsidP="009260BC">
            <w:pPr>
              <w:spacing w:after="0" w:line="240" w:lineRule="auto"/>
              <w:jc w:val="both"/>
              <w:rPr>
                <w:rStyle w:val="Stilius25"/>
                <w:rFonts w:ascii="Verdana" w:hAnsi="Verdana"/>
                <w:color w:val="00B0F0"/>
                <w:sz w:val="20"/>
              </w:rPr>
            </w:pPr>
            <w:r>
              <w:rPr>
                <w:rStyle w:val="Palatino"/>
                <w:rFonts w:ascii="Verdana" w:hAnsi="Verdana"/>
                <w:sz w:val="20"/>
              </w:rPr>
              <w:t>No Tender security is required</w:t>
            </w:r>
          </w:p>
        </w:tc>
      </w:tr>
      <w:tr w:rsidR="00EF0314" w:rsidRPr="0032182C" w14:paraId="53FB5F87" w14:textId="77777777" w:rsidTr="006E4D5D">
        <w:trPr>
          <w:trHeight w:val="263"/>
        </w:trPr>
        <w:tc>
          <w:tcPr>
            <w:tcW w:w="4503" w:type="dxa"/>
            <w:vAlign w:val="center"/>
          </w:tcPr>
          <w:p w14:paraId="1B47AFC8" w14:textId="77777777" w:rsidR="00EF0314" w:rsidRPr="0032182C" w:rsidRDefault="003B687D" w:rsidP="00204A18">
            <w:pPr>
              <w:numPr>
                <w:ilvl w:val="0"/>
                <w:numId w:val="2"/>
              </w:numPr>
              <w:tabs>
                <w:tab w:val="left" w:pos="567"/>
              </w:tabs>
              <w:spacing w:after="0" w:line="240" w:lineRule="auto"/>
              <w:ind w:left="426" w:hanging="426"/>
              <w:rPr>
                <w:rFonts w:ascii="Verdana" w:hAnsi="Verdana"/>
                <w:sz w:val="20"/>
              </w:rPr>
            </w:pPr>
            <w:r>
              <w:rPr>
                <w:rFonts w:ascii="Verdana" w:hAnsi="Verdana"/>
                <w:sz w:val="20"/>
              </w:rPr>
              <w:t xml:space="preserve"> Payment conditions </w:t>
            </w:r>
          </w:p>
        </w:tc>
        <w:tc>
          <w:tcPr>
            <w:tcW w:w="5273" w:type="dxa"/>
            <w:vAlign w:val="center"/>
          </w:tcPr>
          <w:p w14:paraId="00446A3B" w14:textId="35C5E1C3" w:rsidR="00EF0314" w:rsidRPr="0032182C" w:rsidRDefault="00883602" w:rsidP="002D11DA">
            <w:pPr>
              <w:spacing w:after="0" w:line="240" w:lineRule="auto"/>
              <w:jc w:val="both"/>
              <w:rPr>
                <w:rStyle w:val="Palatino"/>
                <w:rFonts w:ascii="Verdana" w:hAnsi="Verdana"/>
                <w:color w:val="00B0F0"/>
                <w:sz w:val="20"/>
              </w:rPr>
            </w:pPr>
            <w:r>
              <w:rPr>
                <w:rFonts w:ascii="Verdana" w:hAnsi="Verdana"/>
                <w:sz w:val="20"/>
              </w:rPr>
              <w:t>The Customer will pay the Supplier for the Services on a monthly basis, no later than within 30 calendar days of the receipt of the invoice in the SABIS system. The insurance premium will be paid within 30 days of the commencement of insurance coverage and receipt of the invoice.</w:t>
            </w:r>
          </w:p>
        </w:tc>
      </w:tr>
      <w:tr w:rsidR="00ED4693" w:rsidRPr="0032182C" w14:paraId="4989672B" w14:textId="77777777" w:rsidTr="006E4D5D">
        <w:trPr>
          <w:trHeight w:val="1124"/>
        </w:trPr>
        <w:tc>
          <w:tcPr>
            <w:tcW w:w="4503" w:type="dxa"/>
            <w:vAlign w:val="center"/>
          </w:tcPr>
          <w:p w14:paraId="2E49D39F" w14:textId="77777777" w:rsidR="00ED4693" w:rsidRPr="0032182C" w:rsidRDefault="00ED4693" w:rsidP="00ED4693">
            <w:pPr>
              <w:numPr>
                <w:ilvl w:val="0"/>
                <w:numId w:val="2"/>
              </w:numPr>
              <w:tabs>
                <w:tab w:val="left" w:pos="567"/>
              </w:tabs>
              <w:spacing w:after="0" w:line="240" w:lineRule="auto"/>
              <w:ind w:left="426" w:hanging="426"/>
              <w:rPr>
                <w:rFonts w:ascii="Verdana" w:hAnsi="Verdana"/>
                <w:sz w:val="20"/>
              </w:rPr>
            </w:pPr>
            <w:r>
              <w:rPr>
                <w:rFonts w:ascii="Verdana" w:hAnsi="Verdana"/>
                <w:sz w:val="20"/>
              </w:rPr>
              <w:t xml:space="preserve"> The Supplier can request the CA to explain the Procurement Documents.</w:t>
            </w:r>
          </w:p>
        </w:tc>
        <w:tc>
          <w:tcPr>
            <w:tcW w:w="5273" w:type="dxa"/>
            <w:vAlign w:val="center"/>
          </w:tcPr>
          <w:p w14:paraId="44EAE41D" w14:textId="74B8276A" w:rsidR="00ED4693" w:rsidRPr="0032182C" w:rsidDel="003B687D" w:rsidRDefault="00ED4693" w:rsidP="00ED4693">
            <w:pPr>
              <w:spacing w:after="0" w:line="240" w:lineRule="auto"/>
              <w:jc w:val="both"/>
              <w:rPr>
                <w:rFonts w:ascii="Verdana" w:hAnsi="Verdana"/>
                <w:color w:val="00B0F0"/>
                <w:sz w:val="20"/>
              </w:rPr>
            </w:pPr>
            <w:r>
              <w:rPr>
                <w:rFonts w:ascii="Verdana" w:hAnsi="Verdana"/>
                <w:sz w:val="20"/>
              </w:rPr>
              <w:t>The CA will answer each Supplier’s request to explain the Procurement Documents if the request is received no later than 6 (six) days before the deadline for the submission of Tenders. The CA will respond to a request received in time via CVP IS no later than 4 (four)</w:t>
            </w:r>
            <w:r>
              <w:rPr>
                <w:rFonts w:ascii="Verdana" w:hAnsi="Verdana"/>
                <w:i/>
                <w:sz w:val="20"/>
              </w:rPr>
              <w:t xml:space="preserve"> </w:t>
            </w:r>
            <w:r>
              <w:rPr>
                <w:rFonts w:ascii="Verdana" w:hAnsi="Verdana"/>
                <w:sz w:val="20"/>
              </w:rPr>
              <w:t>days before the deadline for the submission of Tenders.</w:t>
            </w:r>
          </w:p>
        </w:tc>
      </w:tr>
      <w:tr w:rsidR="00670A00" w:rsidRPr="0032182C" w14:paraId="2F031621" w14:textId="77777777" w:rsidTr="006E4D5D">
        <w:trPr>
          <w:trHeight w:val="1411"/>
        </w:trPr>
        <w:tc>
          <w:tcPr>
            <w:tcW w:w="4503" w:type="dxa"/>
            <w:vAlign w:val="center"/>
          </w:tcPr>
          <w:p w14:paraId="452670FD" w14:textId="77777777" w:rsidR="00670A00" w:rsidRPr="0032182C" w:rsidRDefault="00BD5DC4" w:rsidP="00204A18">
            <w:pPr>
              <w:numPr>
                <w:ilvl w:val="0"/>
                <w:numId w:val="2"/>
              </w:numPr>
              <w:tabs>
                <w:tab w:val="left" w:pos="567"/>
              </w:tabs>
              <w:spacing w:after="0" w:line="240" w:lineRule="auto"/>
              <w:ind w:left="426" w:hanging="426"/>
              <w:rPr>
                <w:rFonts w:ascii="Verdana" w:hAnsi="Verdana"/>
                <w:sz w:val="20"/>
              </w:rPr>
            </w:pPr>
            <w:r>
              <w:rPr>
                <w:rFonts w:ascii="Verdana" w:hAnsi="Verdana"/>
                <w:sz w:val="20"/>
              </w:rPr>
              <w:t xml:space="preserve"> The Procurement uses the pricing method.</w:t>
            </w:r>
          </w:p>
        </w:tc>
        <w:tc>
          <w:tcPr>
            <w:tcW w:w="5273" w:type="dxa"/>
            <w:vAlign w:val="center"/>
          </w:tcPr>
          <w:p w14:paraId="1572888B" w14:textId="354221AB" w:rsidR="00670A00" w:rsidRPr="0032182C" w:rsidRDefault="00ED4693" w:rsidP="00ED4693">
            <w:pPr>
              <w:tabs>
                <w:tab w:val="left" w:pos="1134"/>
              </w:tabs>
              <w:spacing w:after="0" w:line="240" w:lineRule="auto"/>
              <w:ind w:left="34"/>
              <w:jc w:val="both"/>
              <w:rPr>
                <w:rFonts w:ascii="Verdana" w:hAnsi="Verdana"/>
                <w:color w:val="00B0F0"/>
                <w:sz w:val="20"/>
              </w:rPr>
            </w:pPr>
            <w:r>
              <w:rPr>
                <w:rFonts w:ascii="Verdana" w:hAnsi="Verdana"/>
                <w:sz w:val="20"/>
              </w:rPr>
              <w:t>Fixed pricing determined according to the Pricing Rules Determination Methodology approved by Order No 1S-95 of the Director of the Public Procurement Office of 28 June 2017 on the approval of the pricing rules determination methodology.</w:t>
            </w:r>
          </w:p>
        </w:tc>
      </w:tr>
    </w:tbl>
    <w:p w14:paraId="7950CAFA" w14:textId="77777777" w:rsidR="00741634" w:rsidRPr="0032182C" w:rsidRDefault="00741634" w:rsidP="005B6D28">
      <w:pPr>
        <w:pStyle w:val="Heading1"/>
        <w:tabs>
          <w:tab w:val="left" w:pos="1560"/>
        </w:tabs>
        <w:spacing w:before="240" w:after="120"/>
        <w:ind w:left="1985" w:hanging="709"/>
        <w:rPr>
          <w:rFonts w:ascii="Verdana" w:hAnsi="Verdana"/>
          <w:b/>
          <w:sz w:val="20"/>
          <w:szCs w:val="20"/>
        </w:rPr>
      </w:pPr>
      <w:bookmarkStart w:id="4" w:name="_Toc70500200"/>
      <w:r>
        <w:rPr>
          <w:rFonts w:ascii="Verdana" w:hAnsi="Verdana"/>
          <w:b/>
          <w:sz w:val="20"/>
        </w:rPr>
        <w:t>GENERAL PROVISIONS</w:t>
      </w:r>
      <w:bookmarkEnd w:id="4"/>
    </w:p>
    <w:p w14:paraId="71B5DB4A" w14:textId="63E31983"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The Contracting Authority (hereinafter, the CA) has initiated this public procurement (hereinafter, the Procurement) with the aim of entering into a contract to procure the </w:t>
      </w:r>
      <w:proofErr w:type="spellStart"/>
      <w:r>
        <w:rPr>
          <w:rFonts w:ascii="Verdana" w:hAnsi="Verdana"/>
          <w:color w:val="000000" w:themeColor="text1"/>
          <w:sz w:val="20"/>
        </w:rPr>
        <w:t>Centrolink</w:t>
      </w:r>
      <w:proofErr w:type="spellEnd"/>
      <w:r>
        <w:rPr>
          <w:rFonts w:ascii="Verdana" w:hAnsi="Verdana"/>
          <w:color w:val="000000" w:themeColor="text1"/>
          <w:sz w:val="20"/>
        </w:rPr>
        <w:t xml:space="preserve"> System insurance services</w:t>
      </w:r>
      <w:r>
        <w:rPr>
          <w:rFonts w:ascii="Verdana" w:hAnsi="Verdana"/>
          <w:sz w:val="20"/>
        </w:rPr>
        <w:t xml:space="preserve"> (hereinafter, the Procurement Object).</w:t>
      </w:r>
    </w:p>
    <w:p w14:paraId="3F7AB479" w14:textId="59F695F1" w:rsidR="00235F59" w:rsidRPr="0032182C" w:rsidRDefault="000720EF"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bCs/>
          <w:sz w:val="20"/>
        </w:rPr>
      </w:pPr>
      <w:r>
        <w:rPr>
          <w:rFonts w:ascii="Verdana" w:hAnsi="Verdana"/>
          <w:color w:val="000000"/>
          <w:sz w:val="20"/>
        </w:rPr>
        <w:t>The Procurement</w:t>
      </w:r>
      <w:r>
        <w:rPr>
          <w:rFonts w:ascii="Verdana" w:hAnsi="Verdana"/>
          <w:sz w:val="20"/>
        </w:rPr>
        <w:t xml:space="preserve"> shall be carried out in compliance with the LPP</w:t>
      </w:r>
      <w:r w:rsidR="007F0433">
        <w:rPr>
          <w:rFonts w:ascii="Verdana" w:hAnsi="Verdana"/>
          <w:sz w:val="20"/>
        </w:rPr>
        <w:t xml:space="preserve"> </w:t>
      </w:r>
      <w:r>
        <w:rPr>
          <w:rFonts w:ascii="Verdana" w:hAnsi="Verdana"/>
          <w:sz w:val="20"/>
        </w:rPr>
        <w:t>(</w:t>
      </w:r>
      <w:r>
        <w:rPr>
          <w:rFonts w:ascii="Verdana" w:hAnsi="Verdana"/>
          <w:i/>
          <w:sz w:val="20"/>
        </w:rPr>
        <w:t>as last amended</w:t>
      </w:r>
      <w:r>
        <w:rPr>
          <w:rFonts w:ascii="Verdana" w:hAnsi="Verdana"/>
          <w:sz w:val="20"/>
        </w:rPr>
        <w:t>), the Civil Code of the Republic of Lithuania, other legal acts regulating public procurement and the present Procurement Conditions.</w:t>
      </w:r>
      <w:r>
        <w:rPr>
          <w:rFonts w:ascii="Verdana" w:hAnsi="Verdana"/>
          <w:sz w:val="20"/>
          <w:shd w:val="clear" w:color="auto" w:fill="FFFFFF"/>
        </w:rPr>
        <w:t xml:space="preserve"> </w:t>
      </w:r>
    </w:p>
    <w:p w14:paraId="70060C90" w14:textId="7EF41B5C" w:rsidR="00741634" w:rsidRPr="0032182C" w:rsidRDefault="00235F59"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bCs/>
          <w:sz w:val="20"/>
        </w:rPr>
      </w:pPr>
      <w:r>
        <w:rPr>
          <w:rFonts w:ascii="Verdana" w:hAnsi="Verdana"/>
          <w:sz w:val="20"/>
        </w:rPr>
        <w:t xml:space="preserve">The Procurement is considered </w:t>
      </w:r>
      <w:r>
        <w:rPr>
          <w:rFonts w:ascii="Verdana" w:hAnsi="Verdana"/>
          <w:b/>
          <w:bCs/>
          <w:sz w:val="20"/>
        </w:rPr>
        <w:t>green</w:t>
      </w:r>
      <w:r>
        <w:rPr>
          <w:rFonts w:ascii="Verdana" w:hAnsi="Verdana"/>
          <w:sz w:val="20"/>
        </w:rPr>
        <w:t xml:space="preserve">, since it involves the implementation of environmental protection measures, as provided paragraph 4.3.3 of the Procedure for Applying Environmental Protection Criteria in Green Procurement approved by Order No D1-508 of the Minister of the Environment of the Republic of Lithuania of 28 June 2011 (version of Order No D1-401 of 13 December 2022), according to which “the procurement covers only intangible (intellectual) or other </w:t>
      </w:r>
      <w:r>
        <w:rPr>
          <w:rFonts w:ascii="Verdana" w:hAnsi="Verdana"/>
          <w:sz w:val="20"/>
        </w:rPr>
        <w:lastRenderedPageBreak/>
        <w:t>services not related to the creation of a tangible object, the provision of which does not have a significant negative impact on the environment, does not create a source of pollution and does not generate waste”.</w:t>
      </w:r>
    </w:p>
    <w:p w14:paraId="0C6DE1DD" w14:textId="6B6341DD" w:rsidR="004F05DF" w:rsidRPr="0032182C" w:rsidRDefault="004F05DF" w:rsidP="006E4D5D">
      <w:pPr>
        <w:pStyle w:val="ListParagraph"/>
        <w:numPr>
          <w:ilvl w:val="0"/>
          <w:numId w:val="1"/>
        </w:numPr>
        <w:tabs>
          <w:tab w:val="left" w:pos="284"/>
          <w:tab w:val="center" w:pos="426"/>
        </w:tabs>
        <w:spacing w:after="0" w:line="240" w:lineRule="auto"/>
        <w:ind w:left="-142" w:firstLine="0"/>
        <w:contextualSpacing w:val="0"/>
        <w:jc w:val="both"/>
        <w:rPr>
          <w:rFonts w:ascii="Verdana" w:hAnsi="Verdana"/>
          <w:sz w:val="20"/>
          <w:szCs w:val="20"/>
        </w:rPr>
      </w:pPr>
      <w:r>
        <w:rPr>
          <w:rFonts w:ascii="Verdana" w:hAnsi="Verdana"/>
          <w:sz w:val="20"/>
        </w:rPr>
        <w:t xml:space="preserve">If Procurement Documents specify a make or source, or a particular process, or </w:t>
      </w:r>
      <w:proofErr w:type="spellStart"/>
      <w:r>
        <w:rPr>
          <w:rFonts w:ascii="Verdana" w:hAnsi="Verdana"/>
          <w:sz w:val="20"/>
        </w:rPr>
        <w:t>trade marks</w:t>
      </w:r>
      <w:proofErr w:type="spellEnd"/>
      <w:r>
        <w:rPr>
          <w:rFonts w:ascii="Verdana" w:hAnsi="Verdana"/>
          <w:sz w:val="20"/>
        </w:rPr>
        <w:t>, patents, types or a specific origin or production, an object that is equivalent to the indicated object might be offered.</w:t>
      </w:r>
      <w:r>
        <w:rPr>
          <w:rFonts w:ascii="Verdana" w:hAnsi="Verdana"/>
          <w:color w:val="00B0F0"/>
          <w:sz w:val="20"/>
        </w:rPr>
        <w:t xml:space="preserve"> </w:t>
      </w:r>
      <w:r>
        <w:rPr>
          <w:rFonts w:ascii="Verdana" w:hAnsi="Verdana"/>
          <w:sz w:val="20"/>
        </w:rPr>
        <w:t>When offering an equivalent procurement object, Suppliers must provide documents proving that the object meets the technical requirements indicated in Annex 1 of the procurement conditions. The burden of proof of equivalence lies with the Supplier.</w:t>
      </w:r>
    </w:p>
    <w:p w14:paraId="2E521156" w14:textId="6CAF4DFD" w:rsidR="004F05DF" w:rsidRPr="0032182C" w:rsidRDefault="00741634" w:rsidP="006E4D5D">
      <w:pPr>
        <w:pStyle w:val="BodyText"/>
        <w:numPr>
          <w:ilvl w:val="0"/>
          <w:numId w:val="1"/>
        </w:numPr>
        <w:tabs>
          <w:tab w:val="center" w:pos="426"/>
          <w:tab w:val="left" w:pos="993"/>
        </w:tabs>
        <w:ind w:left="-142" w:firstLine="0"/>
        <w:jc w:val="both"/>
        <w:rPr>
          <w:rFonts w:ascii="Verdana" w:hAnsi="Verdana"/>
          <w:sz w:val="20"/>
          <w:szCs w:val="20"/>
        </w:rPr>
      </w:pPr>
      <w:r>
        <w:rPr>
          <w:rFonts w:ascii="Verdana" w:hAnsi="Verdana"/>
          <w:sz w:val="20"/>
        </w:rPr>
        <w:t xml:space="preserve">No preliminary notice was published for the planned Procurement. Procurement Conditions, including their explanations and addenda are posted in CVP IS at </w:t>
      </w:r>
      <w:hyperlink r:id="rId13" w:history="1">
        <w:r>
          <w:rPr>
            <w:rStyle w:val="Hyperlink"/>
            <w:rFonts w:ascii="Verdana" w:hAnsi="Verdana"/>
            <w:sz w:val="20"/>
          </w:rPr>
          <w:t>https://viesiejipirkimai.lt/epps/home.do</w:t>
        </w:r>
      </w:hyperlink>
      <w:r>
        <w:rPr>
          <w:rFonts w:ascii="Verdana" w:hAnsi="Verdana"/>
          <w:sz w:val="20"/>
        </w:rPr>
        <w:t xml:space="preserve"> together with the notice of the Procurement. The CA does not provide Suppliers with a printed version of the Procurement Documents. The Suppliers should attentively keep track of Procurement Documents, their explanations and addenda posted in CVP IS.</w:t>
      </w:r>
    </w:p>
    <w:p w14:paraId="07C4D720" w14:textId="77777777"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The Procurement shall be conducted following the principles of equal treatment, non-discrimination, mutual recognition, proportionality and transparency.</w:t>
      </w:r>
    </w:p>
    <w:p w14:paraId="5E06533B" w14:textId="4512777C"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The CA is a VAT payer.</w:t>
      </w:r>
    </w:p>
    <w:p w14:paraId="0034106F" w14:textId="77777777" w:rsidR="004B72FB" w:rsidRPr="0032182C" w:rsidRDefault="00B237DA" w:rsidP="006E4D5D">
      <w:pPr>
        <w:numPr>
          <w:ilvl w:val="0"/>
          <w:numId w:val="1"/>
        </w:numPr>
        <w:tabs>
          <w:tab w:val="center" w:pos="426"/>
        </w:tabs>
        <w:spacing w:after="0" w:line="240" w:lineRule="auto"/>
        <w:ind w:left="-142" w:firstLine="0"/>
        <w:jc w:val="both"/>
        <w:rPr>
          <w:rFonts w:ascii="Verdana" w:eastAsia="Times New Roman" w:hAnsi="Verdana"/>
          <w:sz w:val="20"/>
        </w:rPr>
      </w:pPr>
      <w:r>
        <w:rPr>
          <w:rFonts w:ascii="Verdana" w:hAnsi="Verdana"/>
          <w:sz w:val="20"/>
        </w:rPr>
        <w:t xml:space="preserve">The Procurement is conducted via CVP IS. Correspondence and exchange of information between the CA and the Supplier shall be conducted in compliance with the LPP, including notices about the Procurement, invitations to Tender and other Procurement Documents as well as Tenders via CVP IS. These established requirements can only be disregarded in exceptional cases laid out in the LPP. </w:t>
      </w:r>
    </w:p>
    <w:p w14:paraId="506782FA" w14:textId="77777777" w:rsidR="00357B12" w:rsidRPr="0032182C" w:rsidRDefault="004A79FB" w:rsidP="006E4D5D">
      <w:pPr>
        <w:numPr>
          <w:ilvl w:val="0"/>
          <w:numId w:val="1"/>
        </w:numPr>
        <w:tabs>
          <w:tab w:val="center" w:pos="426"/>
        </w:tabs>
        <w:spacing w:after="0" w:line="240" w:lineRule="auto"/>
        <w:ind w:left="-142" w:firstLine="0"/>
        <w:jc w:val="both"/>
        <w:rPr>
          <w:rFonts w:ascii="Verdana" w:hAnsi="Verdana"/>
          <w:sz w:val="20"/>
        </w:rPr>
      </w:pPr>
      <w:r>
        <w:rPr>
          <w:rFonts w:ascii="Verdana" w:hAnsi="Verdana"/>
          <w:sz w:val="20"/>
        </w:rPr>
        <w:t xml:space="preserve">The CA shall not reimburse Suppliers for any costs associated with obtaining of the Procurement Conditions, preparation and submission of applications and Tenders, as well as other expenses related to participation in the Procurement. </w:t>
      </w:r>
    </w:p>
    <w:p w14:paraId="2FC4BF1D" w14:textId="7B964F27" w:rsidR="00ED649F" w:rsidRPr="0032182C" w:rsidRDefault="00876113" w:rsidP="006E4D5D">
      <w:pPr>
        <w:numPr>
          <w:ilvl w:val="0"/>
          <w:numId w:val="1"/>
        </w:numPr>
        <w:tabs>
          <w:tab w:val="center" w:pos="426"/>
        </w:tabs>
        <w:spacing w:after="0" w:line="240" w:lineRule="auto"/>
        <w:ind w:left="-142" w:firstLine="0"/>
        <w:jc w:val="both"/>
        <w:rPr>
          <w:rFonts w:ascii="Verdana" w:hAnsi="Verdana"/>
          <w:sz w:val="20"/>
        </w:rPr>
      </w:pPr>
      <w:r>
        <w:rPr>
          <w:rFonts w:ascii="Verdana" w:hAnsi="Verdana"/>
          <w:sz w:val="20"/>
        </w:rPr>
        <w:t>At any time up to the signing of the Procurement Contract, the CA has the right to unilaterally terminate the initiated Procurement procedures if unforeseeable circumstances emerge, and it is obliged to do so if the principles laid down in Article 17(1) of the LPP are violated and the situation cannot be corrected without assuming any responsibility with respect to the Supplier.</w:t>
      </w:r>
    </w:p>
    <w:p w14:paraId="3CDD8E15" w14:textId="4ACA12AA" w:rsidR="00FD134C" w:rsidRPr="0032182C" w:rsidRDefault="001C35BD" w:rsidP="006E4D5D">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The Procurement Conditions shall be presented in Lithuanian and English, and translations into other languages, if necessary, shall made by the Supplier at its own expense. In the case of any discrepancies between the Lithuanian and English versions or any translation, the Lithuanian version of the Conditions will prevail.</w:t>
      </w:r>
    </w:p>
    <w:p w14:paraId="2181F957" w14:textId="49DD0F8C" w:rsidR="00FD134C" w:rsidRPr="0032182C" w:rsidRDefault="00783F9D" w:rsidP="006E4D5D">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The Supplier is responsible for attentively examining the Procurement Documents and the reception of reliable information about all the relevant conditions and obligations that may have an impact on the price or nature of the Tender. If the Supplier is awarded the Procurement, no further demands to change the proposed prices or conditions on the grounds of an error or carelessness will be accepted. </w:t>
      </w:r>
    </w:p>
    <w:p w14:paraId="71D3A327" w14:textId="08E0BBC1" w:rsidR="00586282" w:rsidRPr="0032182C" w:rsidRDefault="00783F9D" w:rsidP="008D0FC2">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The Procurement </w:t>
      </w:r>
      <w:r>
        <w:rPr>
          <w:rFonts w:ascii="Verdana" w:hAnsi="Verdana"/>
          <w:sz w:val="20"/>
          <w:u w:val="single"/>
        </w:rPr>
        <w:t>is not conducted</w:t>
      </w:r>
      <w:r>
        <w:rPr>
          <w:rFonts w:ascii="Verdana" w:hAnsi="Verdana"/>
          <w:sz w:val="20"/>
        </w:rPr>
        <w:t xml:space="preserve"> using the centralised procurement catalogue (CPO) of </w:t>
      </w:r>
      <w:proofErr w:type="spellStart"/>
      <w:r>
        <w:rPr>
          <w:rFonts w:ascii="Verdana" w:hAnsi="Verdana"/>
          <w:sz w:val="20"/>
        </w:rPr>
        <w:t>VšĮ</w:t>
      </w:r>
      <w:proofErr w:type="spellEnd"/>
      <w:r>
        <w:rPr>
          <w:rFonts w:ascii="Verdana" w:hAnsi="Verdana"/>
          <w:sz w:val="20"/>
        </w:rPr>
        <w:t xml:space="preserve"> CPO LT, as </w:t>
      </w:r>
      <w:r>
        <w:rPr>
          <w:rFonts w:ascii="Verdana" w:hAnsi="Verdana"/>
          <w:color w:val="000000" w:themeColor="text1"/>
          <w:sz w:val="20"/>
        </w:rPr>
        <w:t xml:space="preserve">the Procurement Object </w:t>
      </w:r>
      <w:r>
        <w:rPr>
          <w:rFonts w:ascii="Verdana" w:hAnsi="Verdana"/>
          <w:color w:val="000000" w:themeColor="text1"/>
          <w:sz w:val="20"/>
          <w:u w:val="single"/>
        </w:rPr>
        <w:t xml:space="preserve">is </w:t>
      </w:r>
      <w:proofErr w:type="gramStart"/>
      <w:r>
        <w:rPr>
          <w:rFonts w:ascii="Verdana" w:hAnsi="Verdana"/>
          <w:color w:val="000000" w:themeColor="text1"/>
          <w:sz w:val="20"/>
          <w:u w:val="single"/>
        </w:rPr>
        <w:t xml:space="preserve">excluded </w:t>
      </w:r>
      <w:r>
        <w:rPr>
          <w:rFonts w:ascii="Verdana" w:hAnsi="Verdana"/>
          <w:color w:val="000000" w:themeColor="text1"/>
          <w:sz w:val="20"/>
        </w:rPr>
        <w:t xml:space="preserve"> from</w:t>
      </w:r>
      <w:proofErr w:type="gramEnd"/>
      <w:r>
        <w:rPr>
          <w:rFonts w:ascii="Verdana" w:hAnsi="Verdana"/>
          <w:color w:val="000000" w:themeColor="text1"/>
          <w:sz w:val="20"/>
        </w:rPr>
        <w:t xml:space="preserve"> the CPO catalogue (</w:t>
      </w:r>
      <w:hyperlink r:id="rId14" w:history="1">
        <w:r>
          <w:rPr>
            <w:rStyle w:val="Hyperlink"/>
            <w:rFonts w:ascii="Verdana" w:hAnsi="Verdana"/>
            <w:sz w:val="20"/>
          </w:rPr>
          <w:t>http://www.cpo.lt</w:t>
        </w:r>
      </w:hyperlink>
      <w:r>
        <w:rPr>
          <w:rFonts w:ascii="Verdana" w:hAnsi="Verdana"/>
          <w:color w:val="000000" w:themeColor="text1"/>
          <w:sz w:val="20"/>
        </w:rPr>
        <w:t>)</w:t>
      </w:r>
      <w:r>
        <w:rPr>
          <w:rFonts w:ascii="Verdana" w:hAnsi="Verdana"/>
          <w:sz w:val="20"/>
        </w:rPr>
        <w:t>.</w:t>
      </w:r>
    </w:p>
    <w:p w14:paraId="6B410218" w14:textId="77777777" w:rsidR="00741634" w:rsidRPr="0032182C" w:rsidRDefault="00741634" w:rsidP="005B6D28">
      <w:pPr>
        <w:pStyle w:val="Heading1"/>
        <w:tabs>
          <w:tab w:val="left" w:pos="0"/>
        </w:tabs>
        <w:spacing w:before="240" w:after="120"/>
        <w:ind w:left="568" w:hanging="284"/>
        <w:rPr>
          <w:rFonts w:ascii="Verdana" w:hAnsi="Verdana"/>
          <w:b/>
          <w:sz w:val="20"/>
          <w:szCs w:val="20"/>
        </w:rPr>
      </w:pPr>
      <w:bookmarkStart w:id="5" w:name="_Toc70500201"/>
      <w:r>
        <w:rPr>
          <w:rFonts w:ascii="Verdana" w:hAnsi="Verdana"/>
          <w:b/>
          <w:sz w:val="20"/>
        </w:rPr>
        <w:t>PROCUREMENT OBJECT</w:t>
      </w:r>
      <w:bookmarkEnd w:id="5"/>
      <w:r>
        <w:rPr>
          <w:rFonts w:ascii="Verdana" w:hAnsi="Verdana"/>
          <w:b/>
          <w:sz w:val="20"/>
        </w:rPr>
        <w:t xml:space="preserve"> </w:t>
      </w:r>
    </w:p>
    <w:p w14:paraId="1145A800" w14:textId="2C29AC14" w:rsidR="009913DE" w:rsidRPr="0032182C" w:rsidRDefault="009913DE" w:rsidP="006E4D5D">
      <w:pPr>
        <w:numPr>
          <w:ilvl w:val="0"/>
          <w:numId w:val="5"/>
        </w:numPr>
        <w:tabs>
          <w:tab w:val="left" w:pos="0"/>
          <w:tab w:val="center" w:pos="426"/>
          <w:tab w:val="left" w:pos="709"/>
          <w:tab w:val="left" w:pos="2127"/>
        </w:tabs>
        <w:spacing w:after="0" w:line="240" w:lineRule="auto"/>
        <w:ind w:left="-142" w:firstLine="0"/>
        <w:jc w:val="both"/>
        <w:rPr>
          <w:rFonts w:ascii="Verdana" w:eastAsia="Times New Roman" w:hAnsi="Verdana"/>
          <w:sz w:val="20"/>
        </w:rPr>
      </w:pPr>
      <w:bookmarkStart w:id="6" w:name="_Hlk66980157"/>
      <w:r>
        <w:rPr>
          <w:rFonts w:ascii="Verdana" w:hAnsi="Verdana"/>
          <w:sz w:val="20"/>
        </w:rPr>
        <w:t xml:space="preserve">A description of the Procurement Object, its characteristics, scope and other minimum requirements are presented in the technical specification in </w:t>
      </w:r>
      <w:r>
        <w:rPr>
          <w:rFonts w:ascii="Verdana" w:hAnsi="Verdana"/>
          <w:color w:val="000000"/>
          <w:sz w:val="20"/>
        </w:rPr>
        <w:t>Annex 1 to the procurement conditions</w:t>
      </w:r>
      <w:r>
        <w:rPr>
          <w:rFonts w:ascii="Verdana" w:hAnsi="Verdana"/>
          <w:sz w:val="20"/>
        </w:rPr>
        <w:t xml:space="preserve"> (hereinafter, the Technical Specification).</w:t>
      </w:r>
    </w:p>
    <w:p w14:paraId="2599CDE9" w14:textId="5251EE24" w:rsidR="009913DE" w:rsidRPr="0032182C" w:rsidRDefault="009913DE" w:rsidP="006E4D5D">
      <w:pPr>
        <w:numPr>
          <w:ilvl w:val="0"/>
          <w:numId w:val="5"/>
        </w:numPr>
        <w:tabs>
          <w:tab w:val="left" w:pos="0"/>
          <w:tab w:val="center" w:pos="426"/>
          <w:tab w:val="left" w:pos="709"/>
          <w:tab w:val="left" w:pos="2127"/>
        </w:tabs>
        <w:spacing w:after="0" w:line="240" w:lineRule="auto"/>
        <w:ind w:left="-142" w:firstLine="0"/>
        <w:jc w:val="both"/>
        <w:rPr>
          <w:rFonts w:ascii="Verdana" w:eastAsia="Times New Roman" w:hAnsi="Verdana"/>
          <w:color w:val="00B0F0"/>
          <w:sz w:val="20"/>
        </w:rPr>
      </w:pPr>
      <w:r>
        <w:rPr>
          <w:rFonts w:ascii="Verdana" w:hAnsi="Verdana"/>
          <w:sz w:val="20"/>
        </w:rPr>
        <w:t>The Procurement Object will not be divided into lots.</w:t>
      </w:r>
    </w:p>
    <w:p w14:paraId="58CC3CF7" w14:textId="77777777" w:rsidR="00741634" w:rsidRPr="0032182C" w:rsidRDefault="00AC7E2B" w:rsidP="005B6D28">
      <w:pPr>
        <w:pStyle w:val="Heading1"/>
        <w:spacing w:before="240" w:after="120"/>
        <w:ind w:left="0" w:firstLine="992"/>
        <w:rPr>
          <w:rFonts w:ascii="Verdana" w:hAnsi="Verdana"/>
          <w:b/>
          <w:sz w:val="20"/>
          <w:szCs w:val="20"/>
        </w:rPr>
      </w:pPr>
      <w:bookmarkStart w:id="7" w:name="_Toc70500202"/>
      <w:bookmarkEnd w:id="6"/>
      <w:r>
        <w:rPr>
          <w:rFonts w:ascii="Verdana" w:hAnsi="Verdana"/>
          <w:b/>
          <w:sz w:val="20"/>
        </w:rPr>
        <w:t>GROUNDS FOR EXCLUSION OF SUPPLIERS, QUALIFICATION REQUIREMENTS, QUALITY AND ENVIRONMENTAL MANAGEMENT SYSTEM STANDARDS AND OTHER REQUIREMENTS</w:t>
      </w:r>
      <w:bookmarkEnd w:id="7"/>
    </w:p>
    <w:p w14:paraId="33A4242B" w14:textId="567B6096" w:rsidR="008F33F4" w:rsidRPr="0032182C" w:rsidRDefault="00BB6764" w:rsidP="006E4D5D">
      <w:pPr>
        <w:pStyle w:val="NoSpacing"/>
        <w:numPr>
          <w:ilvl w:val="1"/>
          <w:numId w:val="43"/>
        </w:numPr>
        <w:tabs>
          <w:tab w:val="left" w:pos="567"/>
        </w:tabs>
        <w:ind w:left="-142" w:firstLine="0"/>
        <w:jc w:val="both"/>
        <w:rPr>
          <w:rFonts w:ascii="Verdana" w:hAnsi="Verdana"/>
          <w:sz w:val="20"/>
          <w:szCs w:val="20"/>
        </w:rPr>
      </w:pPr>
      <w:r>
        <w:rPr>
          <w:rFonts w:ascii="Verdana" w:hAnsi="Verdana"/>
          <w:sz w:val="20"/>
        </w:rPr>
        <w:t>The Tender shall only be accompanied by ESPD. The Contracting Authority shall not require any evidence of the absence of the grounds for exclusion listed in the table to be submitted with the Tender. These documents shall only be requested from the Supplier who submitted the most economically advantageous tender before determining the successful tender,</w:t>
      </w:r>
      <w:r>
        <w:rPr>
          <w:rStyle w:val="normaltextrun"/>
          <w:rFonts w:ascii="Verdana" w:hAnsi="Verdana"/>
          <w:color w:val="000000"/>
          <w:sz w:val="20"/>
          <w:shd w:val="clear" w:color="auto" w:fill="FFFFFF"/>
        </w:rPr>
        <w:t xml:space="preserve"> if the Contracting Authority has reasonable doubts about the Supplier’s compliance. </w:t>
      </w:r>
      <w:r>
        <w:rPr>
          <w:rFonts w:ascii="Verdana" w:hAnsi="Verdana"/>
          <w:sz w:val="20"/>
        </w:rPr>
        <w:t>However, the Contracting Authority may, at any time during the Procurement procedure, request candidates or tenderers to submit all or a part of the documents confirming the absence of the grounds for their exclusion, if it is necessary to ensure proper performance of the Procurement procedure.</w:t>
      </w:r>
    </w:p>
    <w:p w14:paraId="4E4FC5C0" w14:textId="77777777" w:rsidR="00D31ECE" w:rsidRPr="0032182C" w:rsidRDefault="00891A1C" w:rsidP="006E4D5D">
      <w:pPr>
        <w:pStyle w:val="ListParagraph"/>
        <w:numPr>
          <w:ilvl w:val="1"/>
          <w:numId w:val="43"/>
        </w:numPr>
        <w:tabs>
          <w:tab w:val="left" w:pos="567"/>
        </w:tabs>
        <w:spacing w:after="0" w:line="240" w:lineRule="auto"/>
        <w:ind w:left="-142" w:firstLine="0"/>
        <w:jc w:val="both"/>
        <w:rPr>
          <w:rFonts w:ascii="Verdana" w:hAnsi="Verdana"/>
          <w:sz w:val="20"/>
          <w:szCs w:val="20"/>
        </w:rPr>
      </w:pPr>
      <w:r>
        <w:rPr>
          <w:rFonts w:ascii="Verdana" w:hAnsi="Verdana"/>
          <w:sz w:val="20"/>
        </w:rPr>
        <w:lastRenderedPageBreak/>
        <w:t xml:space="preserve">The grounds for exclusion apply to the Supplier (where the Tender is submitted by a group of economic operators, to all members of that group) and to the entities on whose capacity the Supplier relies. </w:t>
      </w:r>
    </w:p>
    <w:p w14:paraId="2F423816" w14:textId="0325703F" w:rsidR="00672FE0" w:rsidRPr="0032182C" w:rsidRDefault="00D866C9" w:rsidP="006E4D5D">
      <w:pPr>
        <w:pStyle w:val="ListParagraph"/>
        <w:numPr>
          <w:ilvl w:val="1"/>
          <w:numId w:val="43"/>
        </w:numPr>
        <w:tabs>
          <w:tab w:val="left" w:pos="567"/>
        </w:tabs>
        <w:spacing w:after="0" w:line="240" w:lineRule="auto"/>
        <w:ind w:left="-142" w:firstLine="0"/>
        <w:jc w:val="both"/>
        <w:rPr>
          <w:rFonts w:ascii="Verdana" w:hAnsi="Verdana"/>
          <w:sz w:val="20"/>
          <w:szCs w:val="20"/>
        </w:rPr>
      </w:pPr>
      <w:r>
        <w:rPr>
          <w:rFonts w:ascii="Verdana" w:hAnsi="Verdana"/>
          <w:color w:val="00000A"/>
          <w:sz w:val="20"/>
        </w:rPr>
        <w:t xml:space="preserve">Recommendations for completing the ESPD are available at: </w:t>
      </w:r>
      <w:hyperlink r:id="rId15" w:history="1">
        <w:r>
          <w:rPr>
            <w:rStyle w:val="Hyperlink"/>
            <w:rFonts w:ascii="Verdana" w:hAnsi="Verdana"/>
            <w:sz w:val="20"/>
          </w:rPr>
          <w:t>http://vpt.lrv.lt/lt/naujienos/ebvpd-pildymo-rekomendacijos</w:t>
        </w:r>
      </w:hyperlink>
      <w:r>
        <w:rPr>
          <w:rStyle w:val="Hyperlink"/>
          <w:rFonts w:ascii="Verdana" w:hAnsi="Verdana"/>
          <w:sz w:val="20"/>
        </w:rPr>
        <w:t>.</w:t>
      </w:r>
    </w:p>
    <w:p w14:paraId="6BA6334D" w14:textId="77777777" w:rsidR="007704F8" w:rsidRPr="0032182C" w:rsidRDefault="007704F8" w:rsidP="006E4D5D">
      <w:pPr>
        <w:pStyle w:val="NoSpacing"/>
        <w:numPr>
          <w:ilvl w:val="1"/>
          <w:numId w:val="43"/>
        </w:numPr>
        <w:tabs>
          <w:tab w:val="left" w:pos="426"/>
          <w:tab w:val="left" w:pos="567"/>
        </w:tabs>
        <w:ind w:left="-142" w:firstLine="0"/>
        <w:jc w:val="both"/>
        <w:rPr>
          <w:rFonts w:ascii="Verdana" w:eastAsia="Verdana" w:hAnsi="Verdana"/>
          <w:sz w:val="20"/>
          <w:szCs w:val="20"/>
        </w:rPr>
      </w:pPr>
      <w:r>
        <w:rPr>
          <w:rFonts w:ascii="Verdana" w:hAnsi="Verdana"/>
          <w:color w:val="000000" w:themeColor="text1"/>
          <w:sz w:val="20"/>
        </w:rPr>
        <w:t xml:space="preserve">The Contracting Authority shall exclude the Supplier from the Procurement procedure at any stage, if it becomes apparent that, as a result of its actions or inaction prior to or during the Procurement procedure, it meets at least one of the grounds for exclusion of suppliers specified in the Procurement Documents, except in the cases specified in Article 46(10) of the LPP (however, taking into account the provisions of Article 46(11) and (12) of the LPP). </w:t>
      </w:r>
    </w:p>
    <w:p w14:paraId="6CC1DF60" w14:textId="77777777" w:rsidR="00EE1061" w:rsidRPr="0032182C" w:rsidRDefault="00EE1061" w:rsidP="006E4D5D">
      <w:pPr>
        <w:pStyle w:val="NoSpacing"/>
        <w:numPr>
          <w:ilvl w:val="1"/>
          <w:numId w:val="43"/>
        </w:numPr>
        <w:tabs>
          <w:tab w:val="left" w:pos="426"/>
          <w:tab w:val="left" w:pos="567"/>
        </w:tabs>
        <w:ind w:left="-142" w:firstLine="0"/>
        <w:jc w:val="both"/>
        <w:rPr>
          <w:rFonts w:ascii="Verdana" w:eastAsia="Verdana" w:hAnsi="Verdana"/>
          <w:color w:val="000000" w:themeColor="text1"/>
          <w:sz w:val="20"/>
          <w:szCs w:val="20"/>
        </w:rPr>
      </w:pPr>
      <w:r>
        <w:rPr>
          <w:rFonts w:ascii="Verdana" w:hAnsi="Verdana"/>
          <w:color w:val="000000" w:themeColor="text1"/>
          <w:sz w:val="20"/>
        </w:rPr>
        <w:t>When taking decisions on the exclusion of a Supplier from the Procurement procedure on the grounds for exclusion referred to in Articles 46(4) and (6) of the LPP, the Contracting Authority shall consider whether the exclusion of the Supplier from the Procurement procedure in assessing the reliability of the Supplier is proportionate to the Supplier’s conduct at issue, and, in the case of Article 46(4)(7)(c) of the LPP, whether or not the application of this ground for exclusion would significantly restrict competition. When taking decisions on the exclusion of a supplier from the Procurement Procedure on the grounds for exclusion referred to in Articles 46(4)(4) and (6), account may be taken of the information published in accordance with Articles 52 and 91 of the Republic of Lithuania Law on Public Procurement.</w:t>
      </w:r>
    </w:p>
    <w:p w14:paraId="713F8572" w14:textId="77777777" w:rsidR="005C0C04" w:rsidRPr="0032182C" w:rsidRDefault="005C0C04" w:rsidP="006E4D5D">
      <w:pPr>
        <w:pStyle w:val="NoSpacing"/>
        <w:numPr>
          <w:ilvl w:val="1"/>
          <w:numId w:val="43"/>
        </w:numPr>
        <w:tabs>
          <w:tab w:val="left" w:pos="709"/>
        </w:tabs>
        <w:ind w:left="-142" w:firstLine="0"/>
        <w:jc w:val="both"/>
        <w:rPr>
          <w:rFonts w:ascii="Verdana" w:hAnsi="Verdana"/>
          <w:sz w:val="20"/>
          <w:szCs w:val="20"/>
        </w:rPr>
      </w:pPr>
      <w:r>
        <w:rPr>
          <w:rFonts w:ascii="Verdana" w:hAnsi="Verdana"/>
          <w:sz w:val="20"/>
        </w:rPr>
        <w:t xml:space="preserve">The Contracting Authority primarily requires the types of certificates and forms of documentary evidence specified in the European Commission’s information repository e-Certis. The fourth column of the table lists the documents that must be submitted by Suppliers registered in the Republic of Lithuania. The Contracting Authority shall verify the information on the documents to be submitted by foreign Suppliers in e-Certis at </w:t>
      </w:r>
      <w:hyperlink r:id="rId16" w:history="1">
        <w:r>
          <w:rPr>
            <w:rStyle w:val="Hyperlink"/>
            <w:rFonts w:ascii="Verdana" w:hAnsi="Verdana"/>
            <w:sz w:val="20"/>
          </w:rPr>
          <w:t>https://ec.europa.eu/tools/ecertis/</w:t>
        </w:r>
      </w:hyperlink>
      <w:r>
        <w:rPr>
          <w:rFonts w:ascii="Verdana" w:hAnsi="Verdana"/>
          <w:sz w:val="20"/>
        </w:rPr>
        <w:t xml:space="preserve">. </w:t>
      </w:r>
    </w:p>
    <w:p w14:paraId="6BB0881E" w14:textId="77777777" w:rsidR="000A1309" w:rsidRPr="0032182C" w:rsidRDefault="000A1309" w:rsidP="006E4D5D">
      <w:pPr>
        <w:pStyle w:val="NoSpacing"/>
        <w:numPr>
          <w:ilvl w:val="1"/>
          <w:numId w:val="43"/>
        </w:numPr>
        <w:tabs>
          <w:tab w:val="left" w:pos="709"/>
        </w:tabs>
        <w:ind w:left="-142" w:firstLine="0"/>
        <w:jc w:val="both"/>
        <w:rPr>
          <w:rFonts w:ascii="Verdana" w:hAnsi="Verdana"/>
          <w:sz w:val="20"/>
          <w:szCs w:val="20"/>
        </w:rPr>
      </w:pPr>
      <w:r>
        <w:rPr>
          <w:rFonts w:ascii="Verdana" w:hAnsi="Verdana"/>
          <w:sz w:val="20"/>
        </w:rPr>
        <w:t>The Contracting Authority shall not require the Supplier to submit documents confirming the absence of grounds for its exclusion, provided that the CA:</w:t>
      </w:r>
    </w:p>
    <w:p w14:paraId="24CA07C1" w14:textId="77777777" w:rsidR="00D26BA4" w:rsidRPr="0032182C" w:rsidRDefault="000A1309" w:rsidP="006E4D5D">
      <w:pPr>
        <w:pStyle w:val="NoSpacing"/>
        <w:numPr>
          <w:ilvl w:val="2"/>
          <w:numId w:val="43"/>
        </w:numPr>
        <w:tabs>
          <w:tab w:val="left" w:pos="709"/>
        </w:tabs>
        <w:ind w:left="-142" w:firstLine="0"/>
        <w:jc w:val="both"/>
        <w:rPr>
          <w:rFonts w:ascii="Verdana" w:hAnsi="Verdana"/>
          <w:sz w:val="20"/>
          <w:szCs w:val="20"/>
        </w:rPr>
      </w:pPr>
      <w:r>
        <w:rPr>
          <w:rFonts w:ascii="Verdana" w:hAnsi="Verdana"/>
          <w:sz w:val="20"/>
        </w:rPr>
        <w:t>has the access to these documents or information directly and free of charge by logging into the national data base in any Member State or using the Central Procurement Information System tools;</w:t>
      </w:r>
    </w:p>
    <w:p w14:paraId="6D4A1620" w14:textId="77777777" w:rsidR="00D26BA4" w:rsidRPr="0032182C" w:rsidRDefault="000A1309" w:rsidP="006E4D5D">
      <w:pPr>
        <w:pStyle w:val="NoSpacing"/>
        <w:numPr>
          <w:ilvl w:val="2"/>
          <w:numId w:val="43"/>
        </w:numPr>
        <w:tabs>
          <w:tab w:val="left" w:pos="709"/>
        </w:tabs>
        <w:ind w:left="-142" w:firstLine="0"/>
        <w:jc w:val="both"/>
        <w:rPr>
          <w:rFonts w:ascii="Verdana" w:hAnsi="Verdana"/>
          <w:sz w:val="20"/>
          <w:szCs w:val="20"/>
        </w:rPr>
      </w:pPr>
      <w:r>
        <w:rPr>
          <w:rFonts w:ascii="Verdana" w:hAnsi="Verdana"/>
          <w:sz w:val="20"/>
        </w:rPr>
        <w:t xml:space="preserve">already has these documents from previous Procurement procedures, provided that the information contained in these documents is still relevant (the document was issued no later than </w:t>
      </w:r>
      <w:proofErr w:type="spellStart"/>
      <w:r>
        <w:rPr>
          <w:rFonts w:ascii="Verdana" w:hAnsi="Verdana"/>
          <w:sz w:val="20"/>
        </w:rPr>
        <w:t>than</w:t>
      </w:r>
      <w:proofErr w:type="spellEnd"/>
      <w:r>
        <w:rPr>
          <w:rFonts w:ascii="Verdana" w:hAnsi="Verdana"/>
          <w:sz w:val="20"/>
        </w:rPr>
        <w:t xml:space="preserve"> the number of days specified in the relevant row of the table below). </w:t>
      </w:r>
    </w:p>
    <w:p w14:paraId="580D9581" w14:textId="4E3FB931" w:rsidR="00D26BA4" w:rsidRPr="0032182C" w:rsidRDefault="00D26BA4" w:rsidP="006E4D5D">
      <w:pPr>
        <w:pStyle w:val="NoSpacing"/>
        <w:tabs>
          <w:tab w:val="left" w:pos="709"/>
        </w:tabs>
        <w:ind w:left="-142"/>
        <w:jc w:val="both"/>
        <w:rPr>
          <w:rFonts w:ascii="Verdana" w:hAnsi="Verdana"/>
          <w:sz w:val="20"/>
          <w:szCs w:val="20"/>
        </w:rPr>
      </w:pPr>
      <w:r>
        <w:rPr>
          <w:rFonts w:ascii="Verdana" w:hAnsi="Verdana"/>
          <w:sz w:val="20"/>
        </w:rPr>
        <w:tab/>
        <w:t>6¹. From 1 January 2024, when the amendment to Article 25(1) of the LPP comes into force, in simplified procurement procedures, where the Supplier submits an ESPD, certificates confirming the absence of the grounds for exclusion of the Supplier specified in Article 46 of the LPP shall not be required. The Contracting Authority may require certificates confirming the absence of grounds for exclusion of the Supplier only if it has reasonable doubts about the reliability of these Suppliers.</w:t>
      </w:r>
    </w:p>
    <w:p w14:paraId="4718A3CD" w14:textId="5664024C" w:rsidR="00B8642C" w:rsidRPr="0032182C" w:rsidRDefault="00D26BA4" w:rsidP="006E4D5D">
      <w:pPr>
        <w:spacing w:after="0" w:line="240" w:lineRule="auto"/>
        <w:ind w:left="-142" w:firstLine="851"/>
        <w:jc w:val="both"/>
        <w:rPr>
          <w:rFonts w:ascii="Verdana" w:eastAsia="Yu Mincho" w:hAnsi="Verdana"/>
          <w:sz w:val="20"/>
        </w:rPr>
      </w:pPr>
      <w:r>
        <w:rPr>
          <w:rFonts w:ascii="Verdana" w:hAnsi="Verdana"/>
          <w:sz w:val="20"/>
        </w:rPr>
        <w:t>6</w:t>
      </w:r>
      <w:r>
        <w:rPr>
          <w:rFonts w:ascii="Verdana" w:hAnsi="Verdana"/>
          <w:sz w:val="20"/>
          <w:vertAlign w:val="superscript"/>
        </w:rPr>
        <w:t>2</w:t>
      </w:r>
      <w:r>
        <w:rPr>
          <w:rFonts w:ascii="Verdana" w:hAnsi="Verdana"/>
          <w:sz w:val="20"/>
        </w:rPr>
        <w:t>. From 1 July 2024, when the amendment to Article 37(1) of the LPP comes into force, in simplified procurement procedures, where the Supplier submits an ESPD, certificates confirming the absence of the grounds for exclusion of the Supplier specified in Article 46 of the LPP shall not be required. The Contracting Authority may require certificates confirming the absence of grounds for exclusion of the Supplier only if it has reasonable doubts about the reliability of these Suppliers.</w:t>
      </w:r>
    </w:p>
    <w:p w14:paraId="430A7DAF" w14:textId="77777777" w:rsidR="00DD1945" w:rsidRPr="0032182C" w:rsidRDefault="00DD1945" w:rsidP="006E4D5D">
      <w:pPr>
        <w:pStyle w:val="NoSpacing"/>
        <w:numPr>
          <w:ilvl w:val="1"/>
          <w:numId w:val="43"/>
        </w:numPr>
        <w:tabs>
          <w:tab w:val="left" w:pos="709"/>
        </w:tabs>
        <w:ind w:left="-142" w:firstLine="0"/>
        <w:jc w:val="both"/>
        <w:rPr>
          <w:rFonts w:ascii="Verdana" w:hAnsi="Verdana"/>
          <w:sz w:val="20"/>
          <w:szCs w:val="20"/>
        </w:rPr>
      </w:pPr>
      <w:r>
        <w:rPr>
          <w:rFonts w:ascii="Verdana" w:hAnsi="Verdana"/>
          <w:sz w:val="20"/>
        </w:rPr>
        <w:t>If the Supplier is unable to provide the specified documents proving that there are no grounds for exclusion provided for in Articles 46(1) and (3) and Article 46(6)(2) of the LPP because such documents are not issued in the Member State or the country concerned, or the documents issued in that country do not cover all the issues raised in Articles 46(1) and (3) and Article 46(6)(2), they may be replaced with:</w:t>
      </w:r>
    </w:p>
    <w:p w14:paraId="04847A52" w14:textId="77777777" w:rsidR="00DD1945" w:rsidRPr="0032182C" w:rsidRDefault="00DD1945" w:rsidP="006E4D5D">
      <w:pPr>
        <w:pStyle w:val="NoSpacing"/>
        <w:numPr>
          <w:ilvl w:val="2"/>
          <w:numId w:val="43"/>
        </w:numPr>
        <w:tabs>
          <w:tab w:val="left" w:pos="709"/>
        </w:tabs>
        <w:ind w:left="-142" w:firstLine="0"/>
        <w:jc w:val="both"/>
        <w:rPr>
          <w:rFonts w:ascii="Verdana" w:hAnsi="Verdana"/>
          <w:sz w:val="20"/>
          <w:szCs w:val="20"/>
        </w:rPr>
      </w:pPr>
      <w:r>
        <w:rPr>
          <w:rFonts w:ascii="Verdana" w:hAnsi="Verdana"/>
          <w:sz w:val="20"/>
        </w:rPr>
        <w:t>a declaration on oath;</w:t>
      </w:r>
    </w:p>
    <w:p w14:paraId="695543CC" w14:textId="77777777" w:rsidR="00DD1945" w:rsidRPr="0032182C" w:rsidRDefault="00DD1945" w:rsidP="006E4D5D">
      <w:pPr>
        <w:pStyle w:val="NoSpacing"/>
        <w:numPr>
          <w:ilvl w:val="2"/>
          <w:numId w:val="43"/>
        </w:numPr>
        <w:tabs>
          <w:tab w:val="left" w:pos="709"/>
        </w:tabs>
        <w:ind w:left="-142" w:firstLine="0"/>
        <w:jc w:val="both"/>
        <w:rPr>
          <w:rFonts w:ascii="Verdana" w:hAnsi="Verdana"/>
          <w:sz w:val="20"/>
          <w:szCs w:val="20"/>
        </w:rPr>
      </w:pPr>
      <w:r>
        <w:rPr>
          <w:rFonts w:ascii="Verdana" w:hAnsi="Verdana"/>
          <w:sz w:val="20"/>
        </w:rPr>
        <w:t xml:space="preserve"> 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p w14:paraId="69A0107C" w14:textId="49E13CE2" w:rsidR="008242F2" w:rsidRPr="0032182C" w:rsidRDefault="00A05165" w:rsidP="0080028A">
      <w:pPr>
        <w:pStyle w:val="NoSpacing"/>
        <w:numPr>
          <w:ilvl w:val="1"/>
          <w:numId w:val="43"/>
        </w:numPr>
        <w:tabs>
          <w:tab w:val="left" w:pos="709"/>
        </w:tabs>
        <w:ind w:left="-142" w:firstLine="0"/>
        <w:jc w:val="both"/>
        <w:rPr>
          <w:rFonts w:ascii="Verdana" w:hAnsi="Verdana"/>
          <w:sz w:val="20"/>
          <w:szCs w:val="20"/>
        </w:rPr>
      </w:pPr>
      <w:r>
        <w:rPr>
          <w:rFonts w:ascii="Verdana" w:hAnsi="Verdana"/>
          <w:sz w:val="20"/>
        </w:rPr>
        <w:t>Documents certifying the presence and absence of the grounds for excluding suppliers:</w:t>
      </w:r>
    </w:p>
    <w:p w14:paraId="7C126837" w14:textId="77777777" w:rsidR="00F31F4B" w:rsidRPr="0032182C" w:rsidRDefault="00F31F4B" w:rsidP="00F31F4B">
      <w:pPr>
        <w:pStyle w:val="NoSpacing"/>
        <w:tabs>
          <w:tab w:val="left" w:pos="709"/>
        </w:tabs>
        <w:ind w:left="1080"/>
        <w:jc w:val="both"/>
        <w:rPr>
          <w:rFonts w:ascii="Verdana" w:hAnsi="Verdana"/>
          <w:sz w:val="20"/>
          <w:szCs w:val="20"/>
        </w:rPr>
      </w:pPr>
    </w:p>
    <w:p w14:paraId="48080239" w14:textId="6910A402" w:rsidR="00177098" w:rsidRPr="0032182C" w:rsidRDefault="005E4AEF" w:rsidP="006159E9">
      <w:pPr>
        <w:tabs>
          <w:tab w:val="left" w:pos="0"/>
          <w:tab w:val="left" w:pos="426"/>
        </w:tabs>
        <w:spacing w:after="0" w:line="240" w:lineRule="auto"/>
        <w:ind w:left="1277"/>
        <w:jc w:val="right"/>
        <w:rPr>
          <w:rFonts w:ascii="Verdana" w:hAnsi="Verdana"/>
          <w:b/>
          <w:sz w:val="20"/>
        </w:rPr>
      </w:pPr>
      <w:r>
        <w:rPr>
          <w:rFonts w:ascii="Verdana" w:hAnsi="Verdana"/>
          <w:b/>
          <w:sz w:val="20"/>
        </w:rPr>
        <w:t>Table 1. Table of grounds for exclusion of the Supplier</w:t>
      </w:r>
    </w:p>
    <w:tbl>
      <w:tblPr>
        <w:tblW w:w="10632" w:type="dxa"/>
        <w:tblInd w:w="-714" w:type="dxa"/>
        <w:tblLayout w:type="fixed"/>
        <w:tblCellMar>
          <w:left w:w="10" w:type="dxa"/>
          <w:right w:w="10" w:type="dxa"/>
        </w:tblCellMar>
        <w:tblLook w:val="04A0" w:firstRow="1" w:lastRow="0" w:firstColumn="1" w:lastColumn="0" w:noHBand="0" w:noVBand="1"/>
      </w:tblPr>
      <w:tblGrid>
        <w:gridCol w:w="993"/>
        <w:gridCol w:w="3544"/>
        <w:gridCol w:w="2126"/>
        <w:gridCol w:w="3969"/>
      </w:tblGrid>
      <w:tr w:rsidR="00792E17" w:rsidRPr="0032182C" w14:paraId="641A960B"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F55A463" w14:textId="77777777" w:rsidR="00823E6E" w:rsidRPr="0032182C" w:rsidRDefault="00823E6E" w:rsidP="00953FB7">
            <w:pPr>
              <w:pStyle w:val="NoSpacing"/>
              <w:ind w:left="32"/>
              <w:jc w:val="center"/>
              <w:rPr>
                <w:rFonts w:ascii="Verdana" w:hAnsi="Verdana" w:cstheme="minorHAnsi"/>
                <w:b/>
                <w:bCs/>
                <w:sz w:val="20"/>
                <w:szCs w:val="20"/>
              </w:rPr>
            </w:pPr>
            <w:r>
              <w:rPr>
                <w:rFonts w:ascii="Verdana" w:hAnsi="Verdana"/>
                <w:b/>
                <w:sz w:val="20"/>
              </w:rPr>
              <w:t>Item No</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390781B" w14:textId="77777777" w:rsidR="00823E6E" w:rsidRPr="0032182C" w:rsidRDefault="00823E6E" w:rsidP="00953FB7">
            <w:pPr>
              <w:pStyle w:val="NoSpacing"/>
              <w:jc w:val="center"/>
              <w:rPr>
                <w:rFonts w:ascii="Verdana" w:hAnsi="Verdana" w:cstheme="minorHAnsi"/>
                <w:bCs/>
                <w:sz w:val="20"/>
                <w:szCs w:val="20"/>
              </w:rPr>
            </w:pPr>
            <w:r>
              <w:rPr>
                <w:rFonts w:ascii="Verdana" w:hAnsi="Verdana"/>
                <w:b/>
                <w:sz w:val="20"/>
              </w:rPr>
              <w:t>Grounds for exclusion of Suppliers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85C6D51" w14:textId="77777777" w:rsidR="00823E6E" w:rsidRPr="0032182C" w:rsidRDefault="00823E6E" w:rsidP="00953FB7">
            <w:pPr>
              <w:pStyle w:val="NoSpacing"/>
              <w:jc w:val="center"/>
              <w:rPr>
                <w:rFonts w:ascii="Verdana" w:eastAsia="Yu Mincho" w:hAnsi="Verdana" w:cs="Arial"/>
                <w:b/>
                <w:bCs/>
                <w:sz w:val="20"/>
                <w:szCs w:val="20"/>
              </w:rPr>
            </w:pPr>
            <w:r>
              <w:rPr>
                <w:rFonts w:ascii="Verdana" w:hAnsi="Verdana"/>
                <w:b/>
                <w:sz w:val="20"/>
              </w:rPr>
              <w:t xml:space="preserve">Article, section and paragraph of the LPP and section of the </w:t>
            </w:r>
            <w:r>
              <w:rPr>
                <w:rFonts w:ascii="Verdana" w:hAnsi="Verdana"/>
                <w:b/>
                <w:sz w:val="20"/>
              </w:rPr>
              <w:lastRenderedPageBreak/>
              <w:t xml:space="preserve">ESPD form to be completed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CDA772B" w14:textId="77777777" w:rsidR="00823E6E" w:rsidRPr="0032182C" w:rsidRDefault="00823E6E" w:rsidP="00953FB7">
            <w:pPr>
              <w:pStyle w:val="NoSpacing"/>
              <w:jc w:val="center"/>
              <w:rPr>
                <w:rFonts w:ascii="Verdana" w:hAnsi="Verdana" w:cstheme="minorHAnsi"/>
                <w:bCs/>
                <w:iCs/>
                <w:sz w:val="20"/>
                <w:szCs w:val="20"/>
              </w:rPr>
            </w:pPr>
            <w:r>
              <w:rPr>
                <w:rFonts w:ascii="Verdana" w:hAnsi="Verdana"/>
                <w:b/>
                <w:sz w:val="20"/>
              </w:rPr>
              <w:lastRenderedPageBreak/>
              <w:t>Documents proving the absence of grounds for exclusion</w:t>
            </w:r>
          </w:p>
        </w:tc>
      </w:tr>
      <w:tr w:rsidR="00823E6E" w:rsidRPr="0032182C" w14:paraId="3D3026A7" w14:textId="77777777" w:rsidTr="006E4D5D">
        <w:tc>
          <w:tcPr>
            <w:tcW w:w="1063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B13B6" w14:textId="3BAE1467" w:rsidR="00823E6E" w:rsidRPr="0032182C" w:rsidRDefault="00823E6E" w:rsidP="00953FB7">
            <w:pPr>
              <w:pStyle w:val="NoSpacing"/>
              <w:jc w:val="both"/>
              <w:rPr>
                <w:rFonts w:ascii="Verdana" w:hAnsi="Verdana"/>
                <w:sz w:val="20"/>
                <w:szCs w:val="20"/>
              </w:rPr>
            </w:pPr>
            <w:r>
              <w:rPr>
                <w:rFonts w:ascii="Verdana" w:hAnsi="Verdana"/>
                <w:b/>
                <w:color w:val="7030A0"/>
                <w:sz w:val="20"/>
              </w:rPr>
              <w:t>Mandatory</w:t>
            </w:r>
            <w:r w:rsidR="00B83185">
              <w:rPr>
                <w:rStyle w:val="FootnoteReference"/>
                <w:rFonts w:ascii="Verdana" w:hAnsi="Verdana"/>
                <w:b/>
                <w:color w:val="7030A0"/>
                <w:sz w:val="20"/>
              </w:rPr>
              <w:footnoteReference w:id="1"/>
            </w:r>
            <w:r>
              <w:rPr>
                <w:rFonts w:ascii="Verdana" w:hAnsi="Verdana"/>
                <w:b/>
                <w:color w:val="7030A0"/>
                <w:sz w:val="20"/>
              </w:rPr>
              <w:t xml:space="preserve"> grounds for exclusion under the provisions of Article 46(1) to (4) of the LPP</w:t>
            </w:r>
          </w:p>
        </w:tc>
      </w:tr>
      <w:tr w:rsidR="00792E17" w:rsidRPr="0032182C" w14:paraId="4BBF11F7"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7A01E"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69BBC" w14:textId="77777777" w:rsidR="00823E6E" w:rsidRPr="0032182C" w:rsidRDefault="00823E6E" w:rsidP="00953FB7">
            <w:pPr>
              <w:pStyle w:val="NoSpacing"/>
              <w:jc w:val="both"/>
              <w:rPr>
                <w:rFonts w:ascii="Verdana" w:hAnsi="Verdana"/>
                <w:b/>
                <w:bCs/>
                <w:sz w:val="20"/>
                <w:szCs w:val="20"/>
              </w:rPr>
            </w:pPr>
            <w:r>
              <w:rPr>
                <w:rFonts w:ascii="Verdana" w:hAnsi="Verdana"/>
                <w:sz w:val="20"/>
              </w:rPr>
              <w:t>The Supplier or their responsible person referred to in Article 46(2)(2) of the LPP has been convicted of the following criminal act:</w:t>
            </w:r>
          </w:p>
          <w:p w14:paraId="15212017"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(1) participation in, formation of organised crime or being in charge thereof;</w:t>
            </w:r>
          </w:p>
          <w:p w14:paraId="32D8CCF3"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(2) bribery, trading in influence, graft;</w:t>
            </w:r>
          </w:p>
          <w:p w14:paraId="423B61C4"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(3) fraud, embezzlement, misappropriation, fraudulent declaration of a legal entity’s activity, credit, loans or misuse of targeted support not in accordance with its purpose or the established procedure, credit fraud, provision of inaccurate data on income, profit or assets, failure to file a tax return or to submit a report or another document, fraudulent management of accounts or abuse to the detriment of the financial interests of the European Communities as established in Article 1 of the Convention on the protection of the European Communities’ financial interests;</w:t>
            </w:r>
          </w:p>
          <w:p w14:paraId="7B226DB9"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(4) criminal bankruptcy;</w:t>
            </w:r>
          </w:p>
          <w:p w14:paraId="72D84405"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(5) terrorism or crimes related to terrorist activity;</w:t>
            </w:r>
          </w:p>
          <w:p w14:paraId="6DB670B8"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(6) legalisation of criminally acquired assets;</w:t>
            </w:r>
          </w:p>
          <w:p w14:paraId="0B0F3B42"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(7) human trafficking, sale and acquisition of children;</w:t>
            </w:r>
          </w:p>
          <w:p w14:paraId="6261028E"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 xml:space="preserve">(8) crimes committed by the Supplier in another country, as </w:t>
            </w:r>
            <w:r>
              <w:rPr>
                <w:rFonts w:ascii="Verdana" w:hAnsi="Verdana"/>
                <w:sz w:val="20"/>
              </w:rPr>
              <w:lastRenderedPageBreak/>
              <w:t>defined by part 1 of Article 57 of Directive 2014/24/EU, and laws enacting legal acts of the European Union in other countries.</w:t>
            </w:r>
          </w:p>
          <w:p w14:paraId="3EABE88A" w14:textId="77777777" w:rsidR="00823E6E" w:rsidRPr="0032182C" w:rsidRDefault="00823E6E" w:rsidP="00953FB7">
            <w:pPr>
              <w:pStyle w:val="NoSpacing"/>
              <w:jc w:val="both"/>
              <w:rPr>
                <w:rFonts w:ascii="Verdana" w:hAnsi="Verdana" w:cstheme="minorHAnsi"/>
                <w:b/>
                <w:bCs/>
                <w:sz w:val="20"/>
                <w:szCs w:val="20"/>
              </w:rPr>
            </w:pPr>
          </w:p>
          <w:p w14:paraId="6404BFA3"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The Supplier or their responsible person shall be deemed to have been convicted of the above offence where:</w:t>
            </w:r>
          </w:p>
          <w:p w14:paraId="2538B153"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(1) the Supplier who is a natural person has a judgment of conviction passed and become effective over the past five years and this person has an unspent or unexpunged conviction;</w:t>
            </w:r>
          </w:p>
          <w:p w14:paraId="5A1FED91" w14:textId="77777777" w:rsidR="00823E6E" w:rsidRPr="0032182C" w:rsidRDefault="00823E6E" w:rsidP="00953FB7">
            <w:pPr>
              <w:pStyle w:val="NoSpacing"/>
              <w:jc w:val="both"/>
              <w:rPr>
                <w:rFonts w:ascii="Verdana" w:hAnsi="Verdana"/>
                <w:sz w:val="20"/>
                <w:szCs w:val="20"/>
              </w:rPr>
            </w:pPr>
            <w:r>
              <w:rPr>
                <w:rFonts w:ascii="Verdana" w:hAnsi="Verdana"/>
                <w:sz w:val="20"/>
              </w:rPr>
              <w:t xml:space="preserve">(2) a judgment of conviction has been passed and become effective over the past five years against the manager of the Supplier as a legal person, another organisation or </w:t>
            </w:r>
            <w:r>
              <w:rPr>
                <w:rFonts w:ascii="Verdana" w:hAnsi="Verdana"/>
                <w:b/>
                <w:bCs/>
                <w:sz w:val="20"/>
              </w:rPr>
              <w:t>a unit</w:t>
            </w:r>
            <w:r>
              <w:rPr>
                <w:rFonts w:ascii="Verdana" w:hAnsi="Verdana"/>
                <w:sz w:val="20"/>
              </w:rPr>
              <w:t xml:space="preserve"> thereof, or the person(s) authorised to draw up and sign the Supplier’s accounting documents, and this person has an unspent or unexpunged conviction;</w:t>
            </w:r>
          </w:p>
          <w:p w14:paraId="0D652DD2"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 xml:space="preserve">(3) a judgment of conviction has been passed and become effective over the past five years against the Supplier as a legal person, another organisation or </w:t>
            </w:r>
            <w:r>
              <w:rPr>
                <w:rFonts w:ascii="Verdana" w:hAnsi="Verdana"/>
                <w:b/>
                <w:bCs/>
                <w:sz w:val="20"/>
              </w:rPr>
              <w:t>a unit</w:t>
            </w:r>
            <w:r>
              <w:rPr>
                <w:rFonts w:ascii="Verdana" w:hAnsi="Verdana"/>
                <w:sz w:val="20"/>
              </w:rPr>
              <w:t xml:space="preserve"> thereof or, in the case of Article 46(3) of the LPP, a final administrative decision, if such decision is made in accordance with the legal provisions of the country of the Supplier.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B8656"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lastRenderedPageBreak/>
              <w:t>Article 46(1) of the LPP</w:t>
            </w:r>
          </w:p>
          <w:p w14:paraId="527D8229" w14:textId="77777777" w:rsidR="00823E6E" w:rsidRPr="0032182C" w:rsidRDefault="00823E6E" w:rsidP="00953FB7">
            <w:pPr>
              <w:pStyle w:val="NoSpacing"/>
              <w:jc w:val="both"/>
              <w:rPr>
                <w:rFonts w:ascii="Verdana" w:eastAsia="Yu Mincho" w:hAnsi="Verdana" w:cs="Arial"/>
                <w:sz w:val="20"/>
                <w:szCs w:val="20"/>
              </w:rPr>
            </w:pPr>
          </w:p>
          <w:p w14:paraId="33F72E8B"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points A1-A6</w:t>
            </w:r>
          </w:p>
          <w:p w14:paraId="2CC1678F" w14:textId="77777777" w:rsidR="00823E6E" w:rsidRPr="0032182C" w:rsidRDefault="00823E6E" w:rsidP="00953FB7">
            <w:pPr>
              <w:pStyle w:val="NoSpacing"/>
              <w:jc w:val="both"/>
              <w:rPr>
                <w:rFonts w:ascii="Verdana" w:eastAsia="Yu Mincho" w:hAnsi="Verdana" w:cs="Arial"/>
                <w:sz w:val="20"/>
                <w:szCs w:val="20"/>
              </w:rPr>
            </w:pPr>
          </w:p>
          <w:p w14:paraId="12AEA35B"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D1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D9BB2" w14:textId="77777777" w:rsidR="00823E6E" w:rsidRPr="0032182C" w:rsidRDefault="00823E6E" w:rsidP="00953FB7">
            <w:pPr>
              <w:pStyle w:val="NoSpacing"/>
              <w:jc w:val="both"/>
              <w:rPr>
                <w:rFonts w:ascii="Verdana" w:hAnsi="Verdana"/>
                <w:sz w:val="20"/>
                <w:szCs w:val="20"/>
              </w:rPr>
            </w:pPr>
            <w:r>
              <w:rPr>
                <w:rFonts w:ascii="Verdana" w:hAnsi="Verdana"/>
                <w:sz w:val="20"/>
              </w:rPr>
              <w:t>Entities established in Lithuania shall be required to submit:</w:t>
            </w:r>
          </w:p>
          <w:p w14:paraId="150ADA00" w14:textId="77777777"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an extract from the judgment or</w:t>
            </w:r>
          </w:p>
          <w:p w14:paraId="5C59FFC6" w14:textId="77777777"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 certificate from the Information Technology and Communications Department under the Ministry of the Interior, or</w:t>
            </w:r>
          </w:p>
          <w:p w14:paraId="03B63D9A" w14:textId="77777777"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 document issued by the State Enterprise Centre of Registers in accordance with the procedure established by the Government of the Republic of Lithuania confirming the combined data processed by the competent authorities.</w:t>
            </w:r>
          </w:p>
          <w:p w14:paraId="0165FB4A" w14:textId="77777777" w:rsidR="00823E6E" w:rsidRPr="0032182C" w:rsidRDefault="00823E6E" w:rsidP="00953FB7">
            <w:pPr>
              <w:pStyle w:val="NoSpacing"/>
              <w:jc w:val="both"/>
              <w:rPr>
                <w:rFonts w:ascii="Verdana" w:hAnsi="Verdana"/>
                <w:sz w:val="20"/>
                <w:szCs w:val="20"/>
              </w:rPr>
            </w:pPr>
          </w:p>
          <w:p w14:paraId="4065FE27" w14:textId="77777777" w:rsidR="00823E6E" w:rsidRPr="0032182C" w:rsidRDefault="00823E6E" w:rsidP="00953FB7">
            <w:pPr>
              <w:pStyle w:val="NoSpacing"/>
              <w:jc w:val="both"/>
              <w:rPr>
                <w:rFonts w:ascii="Verdana" w:hAnsi="Verdana"/>
                <w:sz w:val="20"/>
                <w:szCs w:val="20"/>
              </w:rPr>
            </w:pPr>
            <w:r>
              <w:rPr>
                <w:rFonts w:ascii="Verdana" w:hAnsi="Verdana"/>
                <w:sz w:val="20"/>
              </w:rPr>
              <w:t>Entities not established in Lithuania shall be required to submit:</w:t>
            </w:r>
          </w:p>
          <w:p w14:paraId="23D407D2" w14:textId="6E720F64"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 document from the relevant foreign authority</w:t>
            </w:r>
            <w:r w:rsidR="00B83185">
              <w:rPr>
                <w:rStyle w:val="FootnoteReference"/>
                <w:rFonts w:ascii="Verdana" w:hAnsi="Verdana"/>
                <w:sz w:val="20"/>
              </w:rPr>
              <w:footnoteReference w:id="2"/>
            </w:r>
            <w:r>
              <w:rPr>
                <w:rFonts w:ascii="Verdana" w:hAnsi="Verdana"/>
                <w:sz w:val="20"/>
              </w:rPr>
              <w:t>.</w:t>
            </w:r>
          </w:p>
          <w:p w14:paraId="183CC694" w14:textId="77777777" w:rsidR="00823E6E" w:rsidRPr="0032182C" w:rsidRDefault="00823E6E" w:rsidP="00953FB7">
            <w:pPr>
              <w:pStyle w:val="NoSpacing"/>
              <w:jc w:val="both"/>
              <w:rPr>
                <w:rFonts w:ascii="Verdana" w:hAnsi="Verdana"/>
                <w:sz w:val="20"/>
                <w:szCs w:val="20"/>
              </w:rPr>
            </w:pPr>
          </w:p>
          <w:p w14:paraId="6E9AD396" w14:textId="6E8C8EA9" w:rsidR="00823E6E" w:rsidRPr="0032182C" w:rsidRDefault="00823E6E" w:rsidP="00953FB7">
            <w:pPr>
              <w:pStyle w:val="NoSpacing"/>
              <w:jc w:val="both"/>
              <w:rPr>
                <w:rFonts w:ascii="Verdana" w:hAnsi="Verdana"/>
                <w:color w:val="7030A0"/>
                <w:sz w:val="20"/>
                <w:szCs w:val="20"/>
              </w:rPr>
            </w:pPr>
            <w:r>
              <w:rPr>
                <w:rFonts w:ascii="Verdana" w:hAnsi="Verdana"/>
                <w:sz w:val="20"/>
              </w:rPr>
              <w:t xml:space="preserve">The specified documents must be issued no earlier than 180 days before the </w:t>
            </w:r>
            <w:r>
              <w:rPr>
                <w:rFonts w:ascii="Verdana" w:hAnsi="Verdana"/>
                <w:i/>
                <w:sz w:val="20"/>
              </w:rPr>
              <w:t>date on which the Supplier must, at the request of the Contracting Authority, provide documentary evidence of the absence of grounds for exclusion</w:t>
            </w:r>
            <w:r>
              <w:rPr>
                <w:rFonts w:ascii="Verdana" w:hAnsi="Verdana"/>
                <w:sz w:val="20"/>
              </w:rPr>
              <w:t xml:space="preserve">. </w:t>
            </w:r>
            <w:r>
              <w:rPr>
                <w:rFonts w:ascii="Verdana" w:hAnsi="Verdana"/>
                <w:b/>
                <w:bCs/>
                <w:i/>
                <w:color w:val="000000" w:themeColor="text1"/>
                <w:sz w:val="20"/>
              </w:rPr>
              <w:t>Example:</w:t>
            </w:r>
            <w:r>
              <w:rPr>
                <w:rFonts w:ascii="Verdana" w:hAnsi="Verdana"/>
                <w:i/>
                <w:color w:val="000000" w:themeColor="text1"/>
                <w:sz w:val="20"/>
              </w:rPr>
              <w:t xml:space="preserve"> If the Contracting Authority contacts the Supplier on 10 February 2025 requesting supporting documents to be delivered by 14 February 2025, they must be issued not earlier than 180 days counting backwards from 14 February 2025. </w:t>
            </w:r>
          </w:p>
          <w:p w14:paraId="44B407B2" w14:textId="77777777" w:rsidR="00823E6E" w:rsidRPr="0032182C" w:rsidRDefault="00823E6E" w:rsidP="00953FB7">
            <w:pPr>
              <w:pStyle w:val="NoSpacing"/>
              <w:jc w:val="both"/>
              <w:rPr>
                <w:rFonts w:ascii="Verdana" w:hAnsi="Verdana"/>
                <w:b/>
                <w:bCs/>
                <w:sz w:val="20"/>
                <w:szCs w:val="20"/>
              </w:rPr>
            </w:pPr>
          </w:p>
          <w:p w14:paraId="49980836"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 xml:space="preserve">Where the document is issued earlier but its validity term is longer than the period of validity of documents </w:t>
            </w:r>
            <w:r>
              <w:rPr>
                <w:rFonts w:ascii="Verdana" w:hAnsi="Verdana"/>
                <w:sz w:val="20"/>
              </w:rPr>
              <w:lastRenderedPageBreak/>
              <w:t>demonstrating the absence of grounds for exclusion in accordance with the ESPD, such a document shall be acceptable during the period of its validity.</w:t>
            </w:r>
          </w:p>
          <w:p w14:paraId="742E81F9" w14:textId="77777777" w:rsidR="00823E6E" w:rsidRPr="0032182C" w:rsidRDefault="00823E6E" w:rsidP="00953FB7">
            <w:pPr>
              <w:pStyle w:val="NoSpacing"/>
              <w:jc w:val="both"/>
              <w:rPr>
                <w:rFonts w:ascii="Verdana" w:hAnsi="Verdana"/>
                <w:b/>
                <w:bCs/>
                <w:i/>
                <w:iCs/>
                <w:sz w:val="20"/>
                <w:szCs w:val="20"/>
              </w:rPr>
            </w:pPr>
            <w:r>
              <w:rPr>
                <w:rFonts w:ascii="Verdana" w:hAnsi="Verdana"/>
                <w:b/>
                <w:i/>
                <w:sz w:val="20"/>
              </w:rPr>
              <w:t>NOTE</w:t>
            </w:r>
          </w:p>
          <w:p w14:paraId="373D2E42" w14:textId="77777777" w:rsidR="00823E6E" w:rsidRPr="0032182C" w:rsidRDefault="00823E6E" w:rsidP="00953FB7">
            <w:pPr>
              <w:pStyle w:val="NoSpacing"/>
              <w:jc w:val="both"/>
              <w:rPr>
                <w:rFonts w:ascii="Verdana" w:hAnsi="Verdana"/>
                <w:sz w:val="20"/>
                <w:szCs w:val="20"/>
              </w:rPr>
            </w:pPr>
            <w:r>
              <w:rPr>
                <w:rFonts w:ascii="Verdana" w:hAnsi="Verdana"/>
                <w:sz w:val="20"/>
              </w:rPr>
              <w:t>Certificates confirming the absence of grounds for exclusion of the Supplier specified in Article 46 of the LPP are not required. The Contracting Authority will request them only if it has reasonable doubts about the reliability of the Supplier.</w:t>
            </w:r>
          </w:p>
          <w:p w14:paraId="41247D1B" w14:textId="77777777" w:rsidR="00823E6E" w:rsidRPr="0032182C" w:rsidRDefault="00823E6E" w:rsidP="00953FB7">
            <w:pPr>
              <w:pStyle w:val="NoSpacing"/>
              <w:jc w:val="both"/>
              <w:rPr>
                <w:rFonts w:ascii="Verdana" w:hAnsi="Verdana" w:cstheme="minorHAnsi"/>
                <w:b/>
                <w:bCs/>
                <w:sz w:val="20"/>
                <w:szCs w:val="20"/>
              </w:rPr>
            </w:pPr>
          </w:p>
          <w:p w14:paraId="2A384515" w14:textId="77777777" w:rsidR="00823E6E" w:rsidRPr="0032182C" w:rsidRDefault="00823E6E" w:rsidP="00457A00">
            <w:pPr>
              <w:pStyle w:val="NoSpacing"/>
              <w:jc w:val="both"/>
              <w:rPr>
                <w:rFonts w:ascii="Verdana" w:hAnsi="Verdana" w:cstheme="minorHAnsi"/>
                <w:b/>
                <w:bCs/>
                <w:sz w:val="20"/>
                <w:szCs w:val="20"/>
              </w:rPr>
            </w:pPr>
          </w:p>
        </w:tc>
      </w:tr>
      <w:tr w:rsidR="00792E17" w:rsidRPr="0032182C" w14:paraId="2B9958E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11AAD"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49214" w14:textId="77777777" w:rsidR="00823E6E" w:rsidRPr="0032182C" w:rsidRDefault="00823E6E" w:rsidP="00953FB7">
            <w:pPr>
              <w:pStyle w:val="NoSpacing"/>
              <w:jc w:val="both"/>
              <w:rPr>
                <w:rFonts w:ascii="Verdana" w:hAnsi="Verdana"/>
                <w:sz w:val="20"/>
                <w:szCs w:val="20"/>
              </w:rPr>
            </w:pPr>
            <w:r>
              <w:rPr>
                <w:rFonts w:ascii="Verdana" w:hAnsi="Verdana"/>
                <w:sz w:val="20"/>
              </w:rPr>
              <w:t>The Supplier has not complied with the criminal measure imposed on it, namely a prohibition for a legal person to participate in public procurement.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4BBEA"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46(2</w:t>
            </w:r>
            <w:r>
              <w:rPr>
                <w:rFonts w:ascii="Verdana" w:hAnsi="Verdana"/>
                <w:b/>
                <w:sz w:val="20"/>
                <w:vertAlign w:val="superscript"/>
              </w:rPr>
              <w:t>1</w:t>
            </w:r>
            <w:r>
              <w:rPr>
                <w:rFonts w:ascii="Verdana" w:hAnsi="Verdana"/>
                <w:b/>
                <w:sz w:val="20"/>
              </w:rPr>
              <w:t>) of the LPP</w:t>
            </w:r>
          </w:p>
          <w:p w14:paraId="0D29F81F" w14:textId="77777777" w:rsidR="00823E6E" w:rsidRPr="0032182C" w:rsidRDefault="00823E6E" w:rsidP="00953FB7">
            <w:pPr>
              <w:pStyle w:val="NoSpacing"/>
              <w:jc w:val="both"/>
              <w:rPr>
                <w:rFonts w:ascii="Verdana" w:eastAsia="Yu Mincho" w:hAnsi="Verdana" w:cs="Arial"/>
                <w:b/>
                <w:bCs/>
                <w:sz w:val="20"/>
                <w:szCs w:val="20"/>
              </w:rPr>
            </w:pPr>
          </w:p>
          <w:p w14:paraId="1E207742"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sz w:val="20"/>
              </w:rPr>
              <w:t>ESPD, Part III, point D2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BE914"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387996C2" w14:textId="77777777" w:rsidR="00823E6E" w:rsidRPr="0032182C" w:rsidRDefault="00823E6E" w:rsidP="00953FB7">
            <w:pPr>
              <w:pStyle w:val="NoSpacing"/>
              <w:jc w:val="both"/>
              <w:rPr>
                <w:rFonts w:ascii="Verdana" w:hAnsi="Verdana"/>
                <w:sz w:val="20"/>
                <w:szCs w:val="20"/>
              </w:rPr>
            </w:pPr>
          </w:p>
        </w:tc>
      </w:tr>
      <w:tr w:rsidR="00792E17" w:rsidRPr="0032182C" w14:paraId="5FF39AA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5951A"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DCD6" w14:textId="77777777" w:rsidR="00823E6E" w:rsidRPr="0032182C" w:rsidRDefault="00823E6E" w:rsidP="00953FB7">
            <w:pPr>
              <w:pStyle w:val="NoSpacing"/>
              <w:jc w:val="both"/>
              <w:rPr>
                <w:rFonts w:ascii="Verdana" w:hAnsi="Verdana"/>
                <w:b/>
                <w:bCs/>
                <w:sz w:val="20"/>
                <w:szCs w:val="20"/>
              </w:rPr>
            </w:pPr>
            <w:r>
              <w:rPr>
                <w:rFonts w:ascii="Verdana" w:hAnsi="Verdana"/>
                <w:sz w:val="20"/>
              </w:rPr>
              <w:t xml:space="preserve">the Supplier is convicted for a breach of the obligations relating to the payment of taxes, including social security contributions, in accordance with the legal provisions of the country in which the Supplier is registered or of the country of the Contracting Authority, as defined in Article 46(2)(1) and (3) or the Contracting Authority has other evidence of the breach of these obligations. </w:t>
            </w:r>
          </w:p>
          <w:p w14:paraId="7AD5E823" w14:textId="77777777" w:rsidR="00823E6E" w:rsidRPr="0032182C" w:rsidRDefault="00823E6E" w:rsidP="00953FB7">
            <w:pPr>
              <w:pStyle w:val="NoSpacing"/>
              <w:jc w:val="both"/>
              <w:rPr>
                <w:rFonts w:ascii="Verdana" w:hAnsi="Verdana" w:cstheme="minorHAnsi"/>
                <w:b/>
                <w:bCs/>
                <w:sz w:val="20"/>
                <w:szCs w:val="20"/>
              </w:rPr>
            </w:pPr>
          </w:p>
          <w:p w14:paraId="7B378437"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lastRenderedPageBreak/>
              <w:t>The Supplier shall be deemed to have been convicted of the above offence where:</w:t>
            </w:r>
          </w:p>
          <w:p w14:paraId="1BD83BC7"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(1) the Supplier who is a natural person has a judgment of conviction passed and become effective over the past five years and this person has an unspent or unexpunged conviction;</w:t>
            </w:r>
          </w:p>
          <w:p w14:paraId="65E77596"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 xml:space="preserve">(2) a judgment of conviction has been passed and become effective over the past five years against the Supplier as a legal person, another organisation or </w:t>
            </w:r>
            <w:r>
              <w:rPr>
                <w:rFonts w:ascii="Verdana" w:hAnsi="Verdana"/>
                <w:b/>
                <w:bCs/>
                <w:sz w:val="20"/>
              </w:rPr>
              <w:t>a unit</w:t>
            </w:r>
            <w:r>
              <w:rPr>
                <w:rFonts w:ascii="Verdana" w:hAnsi="Verdana"/>
                <w:sz w:val="20"/>
              </w:rPr>
              <w:t xml:space="preserve"> thereof or, in the case of Article 46(3) of the LPP, a final administrative decision, if such decision is made in accordance with the legal provisions of the country of the Supplier.</w:t>
            </w:r>
          </w:p>
          <w:p w14:paraId="7B96E271"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However, this provision shall not apply where:</w:t>
            </w:r>
          </w:p>
          <w:p w14:paraId="6679F8EB"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(1) the Supplier is committed to paying their tax dues, including social security contributions, and is therefore deemed to have already fulfilled the obligations indicated in this part;</w:t>
            </w:r>
          </w:p>
          <w:p w14:paraId="704F308D"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(2) the amount of debt does not exceed €50 (fifty euros);</w:t>
            </w:r>
          </w:p>
          <w:p w14:paraId="2906819E"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 xml:space="preserve">(3) the Supplier was informed of the precise sum of their debt at such a time before the deadline for the submission of tenders that they did not have sufficient time to make the appropriate payments, including social security contributions, sign a debt agreement, enter into a legal agreement of a similar nature regarding the payment of the said debts or take other measures in order to comply with the provisions of point 1. On this basis, the Supplier shall not be disqualified from the </w:t>
            </w:r>
            <w:r>
              <w:rPr>
                <w:rFonts w:ascii="Verdana" w:hAnsi="Verdana"/>
                <w:sz w:val="20"/>
              </w:rPr>
              <w:lastRenderedPageBreak/>
              <w:t>Procurement Procedure if the Contracting Authority demands the Supplier to provide relevant documents under the Republic of Lithuania Law on Public Procurement, and the Supplier proves the fulfilment of their tax obligations, including the payment of social security contributions.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74F8E"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lastRenderedPageBreak/>
              <w:t>Article 46(3) of the LPP</w:t>
            </w:r>
          </w:p>
          <w:p w14:paraId="22A3ED87" w14:textId="77777777" w:rsidR="00823E6E" w:rsidRPr="0032182C" w:rsidRDefault="00823E6E" w:rsidP="00953FB7">
            <w:pPr>
              <w:pStyle w:val="NoSpacing"/>
              <w:jc w:val="both"/>
              <w:rPr>
                <w:rFonts w:ascii="Verdana" w:eastAsia="Arial" w:hAnsi="Verdana" w:cs="Arial"/>
                <w:sz w:val="20"/>
                <w:szCs w:val="20"/>
              </w:rPr>
            </w:pPr>
          </w:p>
          <w:p w14:paraId="05DC2019"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points B1 and B2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82091" w14:textId="77777777" w:rsidR="00823E6E" w:rsidRPr="0032182C" w:rsidRDefault="00823E6E" w:rsidP="00953FB7">
            <w:pPr>
              <w:pStyle w:val="NoSpacing"/>
              <w:jc w:val="both"/>
              <w:rPr>
                <w:rFonts w:ascii="Verdana" w:hAnsi="Verdana"/>
                <w:sz w:val="20"/>
                <w:szCs w:val="20"/>
              </w:rPr>
            </w:pPr>
            <w:r>
              <w:rPr>
                <w:rFonts w:ascii="Verdana" w:hAnsi="Verdana"/>
                <w:sz w:val="20"/>
              </w:rPr>
              <w:t>Entities established in Lithuania shall be required to submit:</w:t>
            </w:r>
          </w:p>
          <w:p w14:paraId="6096516F"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(1) With regard to the fulfilment of obligations related to the payment of taxes, entities established in Lithuania shall be required to submit:</w:t>
            </w:r>
          </w:p>
          <w:p w14:paraId="01BF0BB6" w14:textId="77777777" w:rsidR="00823E6E" w:rsidRPr="0032182C" w:rsidRDefault="00823E6E" w:rsidP="00953FB7">
            <w:pPr>
              <w:pStyle w:val="NoSpacing"/>
              <w:jc w:val="both"/>
              <w:rPr>
                <w:rFonts w:ascii="Verdana" w:hAnsi="Verdana"/>
                <w:b/>
                <w:bCs/>
                <w:sz w:val="20"/>
                <w:szCs w:val="20"/>
              </w:rPr>
            </w:pPr>
          </w:p>
          <w:p w14:paraId="1930E650" w14:textId="77777777" w:rsidR="00823E6E" w:rsidRPr="0032182C" w:rsidRDefault="00823E6E" w:rsidP="00C621F3">
            <w:pPr>
              <w:pStyle w:val="NoSpacing"/>
              <w:numPr>
                <w:ilvl w:val="0"/>
                <w:numId w:val="49"/>
              </w:numPr>
              <w:jc w:val="both"/>
              <w:rPr>
                <w:rFonts w:ascii="Verdana" w:hAnsi="Verdana"/>
                <w:sz w:val="20"/>
                <w:szCs w:val="20"/>
              </w:rPr>
            </w:pPr>
            <w:r>
              <w:rPr>
                <w:rFonts w:ascii="Verdana" w:hAnsi="Verdana"/>
                <w:sz w:val="20"/>
              </w:rPr>
              <w:t xml:space="preserve">an extract from the court decision (if any); </w:t>
            </w:r>
          </w:p>
          <w:p w14:paraId="04005074" w14:textId="77777777" w:rsidR="00823E6E" w:rsidRPr="0032182C" w:rsidRDefault="00823E6E" w:rsidP="00C621F3">
            <w:pPr>
              <w:pStyle w:val="NoSpacing"/>
              <w:numPr>
                <w:ilvl w:val="0"/>
                <w:numId w:val="49"/>
              </w:numPr>
              <w:jc w:val="both"/>
              <w:rPr>
                <w:rFonts w:ascii="Verdana" w:hAnsi="Verdana"/>
                <w:sz w:val="20"/>
                <w:szCs w:val="20"/>
              </w:rPr>
            </w:pPr>
            <w:r>
              <w:rPr>
                <w:rFonts w:ascii="Verdana" w:hAnsi="Verdana"/>
                <w:sz w:val="20"/>
              </w:rPr>
              <w:t>or a document issued by the State Tax Inspectorate under the Ministry of Finance of the Republic of Lithuania;</w:t>
            </w:r>
          </w:p>
          <w:p w14:paraId="1B1B1DE7" w14:textId="77777777" w:rsidR="00823E6E" w:rsidRPr="0032182C" w:rsidRDefault="00823E6E" w:rsidP="00C621F3">
            <w:pPr>
              <w:pStyle w:val="NoSpacing"/>
              <w:numPr>
                <w:ilvl w:val="0"/>
                <w:numId w:val="48"/>
              </w:numPr>
              <w:jc w:val="both"/>
              <w:rPr>
                <w:rFonts w:ascii="Verdana" w:hAnsi="Verdana"/>
                <w:sz w:val="20"/>
                <w:szCs w:val="20"/>
              </w:rPr>
            </w:pPr>
            <w:r>
              <w:rPr>
                <w:rFonts w:ascii="Verdana" w:hAnsi="Verdana"/>
                <w:sz w:val="20"/>
              </w:rPr>
              <w:t xml:space="preserve">or a document issued by the State Enterprise Centre of </w:t>
            </w:r>
            <w:r>
              <w:rPr>
                <w:rFonts w:ascii="Verdana" w:hAnsi="Verdana"/>
                <w:sz w:val="20"/>
              </w:rPr>
              <w:lastRenderedPageBreak/>
              <w:t>Registers in accordance with the procedure established by the Government of the Republic of Lithuania confirming the combined data processed by the competent authorities.</w:t>
            </w:r>
          </w:p>
          <w:p w14:paraId="7A56DD63" w14:textId="77777777" w:rsidR="00823E6E" w:rsidRPr="0032182C" w:rsidRDefault="00823E6E" w:rsidP="00953FB7">
            <w:pPr>
              <w:pStyle w:val="NoSpacing"/>
              <w:jc w:val="both"/>
              <w:rPr>
                <w:rFonts w:ascii="Verdana" w:hAnsi="Verdana"/>
                <w:sz w:val="20"/>
                <w:szCs w:val="20"/>
              </w:rPr>
            </w:pPr>
          </w:p>
          <w:p w14:paraId="71782130" w14:textId="77777777" w:rsidR="00823E6E" w:rsidRPr="0032182C" w:rsidRDefault="00823E6E" w:rsidP="00953FB7">
            <w:pPr>
              <w:pStyle w:val="NoSpacing"/>
              <w:jc w:val="both"/>
              <w:rPr>
                <w:rFonts w:ascii="Verdana" w:hAnsi="Verdana"/>
                <w:sz w:val="20"/>
                <w:szCs w:val="20"/>
              </w:rPr>
            </w:pPr>
            <w:r>
              <w:rPr>
                <w:rFonts w:ascii="Verdana" w:hAnsi="Verdana"/>
                <w:sz w:val="20"/>
              </w:rPr>
              <w:t>Entities not established in Lithuania shall be required to submit:</w:t>
            </w:r>
          </w:p>
          <w:p w14:paraId="289E22F4" w14:textId="3DCE2FAF"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 document from the relevant foreign authority</w:t>
            </w:r>
            <w:r w:rsidR="00EB1635">
              <w:rPr>
                <w:rStyle w:val="FootnoteReference"/>
                <w:rFonts w:ascii="Verdana" w:hAnsi="Verdana"/>
                <w:sz w:val="20"/>
              </w:rPr>
              <w:footnoteReference w:id="3"/>
            </w:r>
            <w:r>
              <w:rPr>
                <w:rFonts w:ascii="Verdana" w:hAnsi="Verdana"/>
                <w:sz w:val="20"/>
              </w:rPr>
              <w:t>.</w:t>
            </w:r>
          </w:p>
          <w:p w14:paraId="55AFAF80" w14:textId="77777777" w:rsidR="00823E6E" w:rsidRPr="0032182C" w:rsidRDefault="00823E6E" w:rsidP="00953FB7">
            <w:pPr>
              <w:pStyle w:val="NoSpacing"/>
              <w:jc w:val="both"/>
              <w:rPr>
                <w:rFonts w:ascii="Verdana" w:eastAsia="Yu Mincho" w:hAnsi="Verdana" w:cs="Arial"/>
                <w:sz w:val="20"/>
                <w:szCs w:val="20"/>
              </w:rPr>
            </w:pPr>
          </w:p>
          <w:p w14:paraId="4FEC9891" w14:textId="34704011" w:rsidR="00823E6E" w:rsidRPr="0032182C" w:rsidRDefault="00823E6E" w:rsidP="00953FB7">
            <w:pPr>
              <w:pStyle w:val="NoSpacing"/>
              <w:jc w:val="both"/>
              <w:rPr>
                <w:rFonts w:ascii="Verdana" w:hAnsi="Verdana"/>
                <w:i/>
                <w:iCs/>
                <w:color w:val="000000" w:themeColor="text1"/>
                <w:sz w:val="20"/>
                <w:szCs w:val="20"/>
              </w:rPr>
            </w:pPr>
            <w:r>
              <w:rPr>
                <w:rFonts w:ascii="Verdana" w:hAnsi="Verdana"/>
                <w:sz w:val="20"/>
              </w:rPr>
              <w:t xml:space="preserve">The specified documents must be issued no earlier than 120 days before the </w:t>
            </w:r>
            <w:r>
              <w:rPr>
                <w:rFonts w:ascii="Verdana" w:hAnsi="Verdana"/>
                <w:i/>
                <w:sz w:val="20"/>
              </w:rPr>
              <w:t>date on which the Supplier must, at the request of the Contracting Authority, provide documentary evidence of the absence of grounds for exclusion</w:t>
            </w:r>
            <w:r>
              <w:rPr>
                <w:rFonts w:ascii="Verdana" w:hAnsi="Verdana"/>
                <w:sz w:val="20"/>
              </w:rPr>
              <w:t xml:space="preserve">. </w:t>
            </w:r>
            <w:r>
              <w:rPr>
                <w:rFonts w:ascii="Verdana" w:hAnsi="Verdana"/>
                <w:b/>
                <w:bCs/>
                <w:i/>
                <w:color w:val="000000" w:themeColor="text1"/>
                <w:sz w:val="20"/>
              </w:rPr>
              <w:t>Example:</w:t>
            </w:r>
            <w:r>
              <w:rPr>
                <w:rFonts w:ascii="Verdana" w:hAnsi="Verdana"/>
                <w:i/>
                <w:color w:val="000000" w:themeColor="text1"/>
                <w:sz w:val="20"/>
              </w:rPr>
              <w:t xml:space="preserve"> If the Contracting Authority contacts the Supplier on 10 February 2025 requesting supporting documents to be delivered by 14 February 2025, they must be issued not earlier than 120 days counting backwards from 14 February 2025. </w:t>
            </w:r>
          </w:p>
          <w:p w14:paraId="42A5CF10" w14:textId="77777777" w:rsidR="00823E6E" w:rsidRPr="0032182C" w:rsidRDefault="00823E6E" w:rsidP="00953FB7">
            <w:pPr>
              <w:pStyle w:val="NoSpacing"/>
              <w:jc w:val="both"/>
              <w:rPr>
                <w:rFonts w:ascii="Verdana" w:hAnsi="Verdana"/>
                <w:i/>
                <w:iCs/>
                <w:color w:val="7030A0"/>
                <w:sz w:val="20"/>
                <w:szCs w:val="20"/>
              </w:rPr>
            </w:pPr>
          </w:p>
          <w:p w14:paraId="6E05713A"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Where the document is issued earlier but its validity term is longer than the period of validity of documents demonstrating the absence of grounds for exclusion in accordance with the ESPD, such a document shall be acceptable during the period of its validity.</w:t>
            </w:r>
          </w:p>
          <w:p w14:paraId="61D5A4CC" w14:textId="77777777" w:rsidR="00823E6E" w:rsidRPr="0032182C" w:rsidRDefault="00823E6E" w:rsidP="00953FB7">
            <w:pPr>
              <w:pStyle w:val="NoSpacing"/>
              <w:jc w:val="both"/>
              <w:rPr>
                <w:rFonts w:ascii="Verdana" w:hAnsi="Verdana" w:cstheme="minorHAnsi"/>
                <w:b/>
                <w:bCs/>
                <w:sz w:val="20"/>
                <w:szCs w:val="20"/>
              </w:rPr>
            </w:pPr>
          </w:p>
          <w:p w14:paraId="5C200125" w14:textId="77777777" w:rsidR="00823E6E" w:rsidRPr="0032182C" w:rsidRDefault="00823E6E" w:rsidP="00953FB7">
            <w:pPr>
              <w:pStyle w:val="NoSpacing"/>
              <w:jc w:val="both"/>
              <w:rPr>
                <w:rFonts w:ascii="Verdana" w:hAnsi="Verdana" w:cstheme="minorHAnsi"/>
                <w:b/>
                <w:bCs/>
                <w:sz w:val="20"/>
                <w:szCs w:val="20"/>
              </w:rPr>
            </w:pPr>
            <w:r>
              <w:rPr>
                <w:rFonts w:ascii="Verdana" w:hAnsi="Verdana"/>
                <w:sz w:val="20"/>
              </w:rPr>
              <w:t>(2) With regard to the fulfilment of obligations related to the payment of social security contributions, entities established in Lithuania shall be required to submit:</w:t>
            </w:r>
          </w:p>
          <w:p w14:paraId="52D8DCE1"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 xml:space="preserve">(2.1) If the Supplier is a legal entity registered in the Republic of Lithuania, they shall not be required to submit any documentary evidence </w:t>
            </w:r>
            <w:r>
              <w:rPr>
                <w:rFonts w:ascii="Verdana" w:hAnsi="Verdana"/>
                <w:sz w:val="20"/>
              </w:rPr>
              <w:lastRenderedPageBreak/>
              <w:t xml:space="preserve">for this requirement. The Contracting Authority shall independently check the data in the national database at </w:t>
            </w:r>
            <w:hyperlink r:id="rId17" w:history="1">
              <w:r>
                <w:rPr>
                  <w:rStyle w:val="Hyperlink"/>
                  <w:rFonts w:ascii="Verdana" w:hAnsi="Verdana"/>
                  <w:sz w:val="20"/>
                </w:rPr>
                <w:t>http://draudejai.sodra.lt/draudeju_viesi_duomenys/</w:t>
              </w:r>
            </w:hyperlink>
            <w:r>
              <w:rPr>
                <w:rFonts w:ascii="Verdana" w:hAnsi="Verdana"/>
                <w:sz w:val="20"/>
              </w:rPr>
              <w:t>.</w:t>
            </w:r>
          </w:p>
          <w:p w14:paraId="649E87EA" w14:textId="77777777" w:rsidR="00823E6E" w:rsidRPr="0032182C" w:rsidRDefault="00823E6E" w:rsidP="00953FB7">
            <w:pPr>
              <w:pStyle w:val="NoSpacing"/>
              <w:jc w:val="both"/>
              <w:rPr>
                <w:rFonts w:ascii="Verdana" w:hAnsi="Verdana" w:cstheme="minorHAnsi"/>
                <w:b/>
                <w:bCs/>
                <w:sz w:val="20"/>
                <w:szCs w:val="20"/>
              </w:rPr>
            </w:pPr>
          </w:p>
          <w:p w14:paraId="30D11697" w14:textId="77777777" w:rsidR="00823E6E" w:rsidRPr="0032182C" w:rsidRDefault="00823E6E" w:rsidP="00953FB7">
            <w:pPr>
              <w:pStyle w:val="NoSpacing"/>
              <w:jc w:val="both"/>
              <w:rPr>
                <w:rFonts w:ascii="Verdana" w:hAnsi="Verdana"/>
                <w:sz w:val="20"/>
                <w:szCs w:val="20"/>
              </w:rPr>
            </w:pPr>
            <w:r>
              <w:rPr>
                <w:rFonts w:ascii="Verdana" w:hAnsi="Verdana"/>
                <w:sz w:val="20"/>
              </w:rPr>
              <w:t>If, due to technical failure in the information system of the Board of the State Social Insurance Fund Board (“</w:t>
            </w:r>
            <w:proofErr w:type="spellStart"/>
            <w:r>
              <w:rPr>
                <w:rFonts w:ascii="Verdana" w:hAnsi="Verdana"/>
                <w:sz w:val="20"/>
              </w:rPr>
              <w:t>Sodra</w:t>
            </w:r>
            <w:proofErr w:type="spellEnd"/>
            <w:r>
              <w:rPr>
                <w:rFonts w:ascii="Verdana" w:hAnsi="Verdana"/>
                <w:sz w:val="20"/>
              </w:rPr>
              <w:t xml:space="preserve">”), the Contracting Authority is not able to verify the data on the Supplier (as a legal person) available free of charge, it shall have the right to request the Supplier (a legal person) to provide an extract from a court judgment (if any) or a document issued in accordance with the procedure established by </w:t>
            </w:r>
            <w:proofErr w:type="spellStart"/>
            <w:r>
              <w:rPr>
                <w:rFonts w:ascii="Verdana" w:hAnsi="Verdana"/>
                <w:sz w:val="20"/>
              </w:rPr>
              <w:t>Sodra</w:t>
            </w:r>
            <w:proofErr w:type="spellEnd"/>
            <w:r>
              <w:rPr>
                <w:rFonts w:ascii="Verdana" w:hAnsi="Verdana"/>
                <w:sz w:val="20"/>
              </w:rPr>
              <w:t xml:space="preserve"> confirming compliance with this requirement. The Supplier may also submit a document issued by the State Enterprise Centre of Registers in accordance with the procedure established by the Government of the Republic of Lithuania confirming the combined data processed by competent authorities.</w:t>
            </w:r>
          </w:p>
          <w:p w14:paraId="605C7EFD" w14:textId="77777777" w:rsidR="00823E6E" w:rsidRPr="0032182C" w:rsidRDefault="00823E6E" w:rsidP="00953FB7">
            <w:pPr>
              <w:pStyle w:val="NoSpacing"/>
              <w:jc w:val="both"/>
              <w:rPr>
                <w:rFonts w:ascii="Verdana" w:hAnsi="Verdana"/>
                <w:b/>
                <w:bCs/>
                <w:sz w:val="20"/>
                <w:szCs w:val="20"/>
              </w:rPr>
            </w:pPr>
          </w:p>
          <w:p w14:paraId="57808B79" w14:textId="77777777" w:rsidR="00823E6E" w:rsidRPr="0032182C" w:rsidRDefault="00823E6E" w:rsidP="00953FB7">
            <w:pPr>
              <w:pStyle w:val="NoSpacing"/>
              <w:jc w:val="both"/>
              <w:rPr>
                <w:rFonts w:ascii="Verdana" w:hAnsi="Verdana"/>
                <w:sz w:val="20"/>
                <w:szCs w:val="20"/>
              </w:rPr>
            </w:pPr>
            <w:r>
              <w:rPr>
                <w:rFonts w:ascii="Verdana" w:hAnsi="Verdana"/>
                <w:sz w:val="20"/>
              </w:rPr>
              <w:t xml:space="preserve">(2.2) Where the Supplier is a natural person registered in the Republic of Lithuania, they shall provide an extract from a court judgment (if any) or a document issued by </w:t>
            </w:r>
            <w:proofErr w:type="spellStart"/>
            <w:r>
              <w:rPr>
                <w:rFonts w:ascii="Verdana" w:hAnsi="Verdana"/>
                <w:sz w:val="20"/>
              </w:rPr>
              <w:t>Sodra</w:t>
            </w:r>
            <w:proofErr w:type="spellEnd"/>
            <w:r>
              <w:rPr>
                <w:rFonts w:ascii="Verdana" w:hAnsi="Verdana"/>
                <w:sz w:val="20"/>
              </w:rPr>
              <w:t xml:space="preserve"> or by the State Enterprise Centre of Registers in accordance with the procedure established by the Government of the Republic of Lithuania confirming the combined data processed by competent authorities.</w:t>
            </w:r>
          </w:p>
          <w:p w14:paraId="79737972" w14:textId="77777777" w:rsidR="00823E6E" w:rsidRPr="0032182C" w:rsidRDefault="00823E6E" w:rsidP="00953FB7">
            <w:pPr>
              <w:pStyle w:val="NoSpacing"/>
              <w:jc w:val="both"/>
              <w:rPr>
                <w:rFonts w:ascii="Verdana" w:hAnsi="Verdana" w:cstheme="minorHAnsi"/>
                <w:b/>
                <w:bCs/>
                <w:sz w:val="20"/>
                <w:szCs w:val="20"/>
              </w:rPr>
            </w:pPr>
          </w:p>
          <w:p w14:paraId="5E06F81C" w14:textId="77777777" w:rsidR="00823E6E" w:rsidRPr="0032182C" w:rsidRDefault="00823E6E" w:rsidP="00953FB7">
            <w:pPr>
              <w:pStyle w:val="NoSpacing"/>
              <w:jc w:val="both"/>
              <w:rPr>
                <w:rFonts w:ascii="Verdana" w:hAnsi="Verdana"/>
                <w:sz w:val="20"/>
                <w:szCs w:val="20"/>
              </w:rPr>
            </w:pPr>
            <w:r>
              <w:rPr>
                <w:rFonts w:ascii="Verdana" w:hAnsi="Verdana"/>
                <w:sz w:val="20"/>
              </w:rPr>
              <w:t>Entities not established in Lithuania shall be required to submit:</w:t>
            </w:r>
          </w:p>
          <w:p w14:paraId="4C692103" w14:textId="07D1CEFD" w:rsidR="00823E6E" w:rsidRPr="0032182C" w:rsidRDefault="00823E6E" w:rsidP="00C621F3">
            <w:pPr>
              <w:pStyle w:val="NoSpacing"/>
              <w:numPr>
                <w:ilvl w:val="0"/>
                <w:numId w:val="44"/>
              </w:numPr>
              <w:ind w:left="314"/>
              <w:jc w:val="both"/>
              <w:rPr>
                <w:rFonts w:ascii="Verdana" w:hAnsi="Verdana"/>
                <w:b/>
                <w:bCs/>
                <w:sz w:val="20"/>
                <w:szCs w:val="20"/>
              </w:rPr>
            </w:pPr>
            <w:r>
              <w:rPr>
                <w:rFonts w:ascii="Verdana" w:hAnsi="Verdana"/>
                <w:sz w:val="20"/>
              </w:rPr>
              <w:t>a document from the relevant foreign competent authority</w:t>
            </w:r>
            <w:r w:rsidR="006F0814">
              <w:rPr>
                <w:rStyle w:val="FootnoteReference"/>
                <w:rFonts w:ascii="Verdana" w:hAnsi="Verdana"/>
                <w:sz w:val="20"/>
              </w:rPr>
              <w:footnoteReference w:id="4"/>
            </w:r>
            <w:r>
              <w:rPr>
                <w:rFonts w:ascii="Verdana" w:hAnsi="Verdana"/>
                <w:sz w:val="20"/>
              </w:rPr>
              <w:t>.</w:t>
            </w:r>
          </w:p>
          <w:p w14:paraId="78245DEE" w14:textId="77777777" w:rsidR="00823E6E" w:rsidRPr="0032182C" w:rsidRDefault="00823E6E" w:rsidP="00953FB7">
            <w:pPr>
              <w:pStyle w:val="NoSpacing"/>
              <w:jc w:val="both"/>
              <w:rPr>
                <w:rFonts w:ascii="Verdana" w:hAnsi="Verdana" w:cstheme="minorHAnsi"/>
                <w:b/>
                <w:bCs/>
                <w:sz w:val="20"/>
                <w:szCs w:val="20"/>
              </w:rPr>
            </w:pPr>
          </w:p>
          <w:p w14:paraId="26347E9B" w14:textId="1B5DB68F" w:rsidR="00823E6E" w:rsidRPr="0032182C" w:rsidRDefault="00823E6E" w:rsidP="00953FB7">
            <w:pPr>
              <w:pStyle w:val="NoSpacing"/>
              <w:jc w:val="both"/>
              <w:rPr>
                <w:rFonts w:ascii="Verdana" w:hAnsi="Verdana"/>
                <w:i/>
                <w:iCs/>
                <w:color w:val="7030A0"/>
                <w:sz w:val="20"/>
                <w:szCs w:val="20"/>
              </w:rPr>
            </w:pPr>
            <w:r>
              <w:rPr>
                <w:rFonts w:ascii="Verdana" w:hAnsi="Verdana"/>
                <w:sz w:val="20"/>
              </w:rPr>
              <w:lastRenderedPageBreak/>
              <w:t xml:space="preserve">The specified documents must be issued no earlier than 120 days before the </w:t>
            </w:r>
            <w:r>
              <w:rPr>
                <w:rFonts w:ascii="Verdana" w:hAnsi="Verdana"/>
                <w:i/>
                <w:sz w:val="20"/>
              </w:rPr>
              <w:t>date on which the Supplier must, at the request of the Contracting Authority, provide documentary evidence of the absence of grounds for exclusion</w:t>
            </w:r>
            <w:r>
              <w:rPr>
                <w:rFonts w:ascii="Verdana" w:hAnsi="Verdana"/>
                <w:sz w:val="20"/>
              </w:rPr>
              <w:t xml:space="preserve">. </w:t>
            </w:r>
            <w:r>
              <w:rPr>
                <w:rFonts w:ascii="Verdana" w:hAnsi="Verdana"/>
                <w:b/>
                <w:bCs/>
                <w:i/>
                <w:color w:val="000000" w:themeColor="text1"/>
                <w:sz w:val="20"/>
              </w:rPr>
              <w:t>Example:</w:t>
            </w:r>
            <w:r>
              <w:rPr>
                <w:rFonts w:ascii="Verdana" w:hAnsi="Verdana"/>
                <w:i/>
                <w:color w:val="000000" w:themeColor="text1"/>
                <w:sz w:val="20"/>
              </w:rPr>
              <w:t xml:space="preserve"> If the Contracting Authority contacts the Supplier on 10 February 2025 requesting supporting documents to be delivered by 14 February 2025, they must be issued not earlier than 120 days counting backwards from 14 February 2025.</w:t>
            </w:r>
          </w:p>
          <w:p w14:paraId="46E9BF9F" w14:textId="77777777" w:rsidR="00823E6E" w:rsidRPr="0032182C" w:rsidRDefault="00823E6E" w:rsidP="00953FB7">
            <w:pPr>
              <w:pStyle w:val="NoSpacing"/>
              <w:jc w:val="both"/>
              <w:rPr>
                <w:rFonts w:ascii="Verdana" w:hAnsi="Verdana" w:cstheme="minorHAnsi"/>
                <w:b/>
                <w:bCs/>
                <w:sz w:val="20"/>
                <w:szCs w:val="20"/>
              </w:rPr>
            </w:pPr>
          </w:p>
          <w:p w14:paraId="10692343" w14:textId="77777777" w:rsidR="00823E6E" w:rsidRPr="0032182C" w:rsidRDefault="00823E6E" w:rsidP="00953FB7">
            <w:pPr>
              <w:pStyle w:val="NoSpacing"/>
              <w:jc w:val="both"/>
              <w:rPr>
                <w:rFonts w:ascii="Verdana" w:hAnsi="Verdana"/>
                <w:sz w:val="20"/>
                <w:szCs w:val="20"/>
              </w:rPr>
            </w:pPr>
            <w:r>
              <w:rPr>
                <w:rFonts w:ascii="Verdana" w:hAnsi="Verdana"/>
                <w:sz w:val="20"/>
              </w:rPr>
              <w:t>Where the document is issued earlier but its validity term is longer than the period of validity of documents demonstrating the absence of grounds for exclusion in accordance with the ESPD, such a document shall be acceptable during the period of its validity.</w:t>
            </w:r>
          </w:p>
          <w:p w14:paraId="2C7A756B" w14:textId="77777777" w:rsidR="00823E6E" w:rsidRPr="0032182C" w:rsidRDefault="00823E6E" w:rsidP="00953FB7">
            <w:pPr>
              <w:pStyle w:val="NoSpacing"/>
              <w:jc w:val="both"/>
              <w:rPr>
                <w:rFonts w:ascii="Verdana" w:hAnsi="Verdana"/>
                <w:sz w:val="20"/>
                <w:szCs w:val="20"/>
              </w:rPr>
            </w:pPr>
          </w:p>
          <w:p w14:paraId="595AE118" w14:textId="77777777" w:rsidR="00823E6E" w:rsidRPr="0032182C" w:rsidRDefault="00823E6E" w:rsidP="00953FB7">
            <w:pPr>
              <w:pStyle w:val="NoSpacing"/>
              <w:jc w:val="both"/>
              <w:rPr>
                <w:rFonts w:ascii="Verdana" w:hAnsi="Verdana"/>
                <w:b/>
                <w:bCs/>
                <w:i/>
                <w:iCs/>
                <w:sz w:val="20"/>
                <w:szCs w:val="20"/>
              </w:rPr>
            </w:pPr>
            <w:r>
              <w:rPr>
                <w:rFonts w:ascii="Verdana" w:hAnsi="Verdana"/>
                <w:b/>
                <w:i/>
                <w:sz w:val="20"/>
              </w:rPr>
              <w:t>NOTE</w:t>
            </w:r>
          </w:p>
          <w:p w14:paraId="0E7A4D62" w14:textId="77777777" w:rsidR="00823E6E" w:rsidRPr="0032182C" w:rsidRDefault="00823E6E" w:rsidP="00953FB7">
            <w:pPr>
              <w:pStyle w:val="NoSpacing"/>
              <w:jc w:val="both"/>
              <w:rPr>
                <w:rFonts w:ascii="Verdana" w:hAnsi="Verdana"/>
                <w:sz w:val="20"/>
                <w:szCs w:val="20"/>
              </w:rPr>
            </w:pPr>
            <w:r>
              <w:rPr>
                <w:rFonts w:ascii="Verdana" w:hAnsi="Verdana"/>
                <w:sz w:val="20"/>
              </w:rPr>
              <w:t>Certificates confirming the absence of grounds for exclusion of the Supplier specified in Article 46 of the LPP are not required. The Contracting Authority will request them only if it has reasonable doubts about the reliability of the Supplier.</w:t>
            </w:r>
          </w:p>
          <w:p w14:paraId="04F75F27" w14:textId="77777777" w:rsidR="00823E6E" w:rsidRPr="0032182C" w:rsidRDefault="00823E6E" w:rsidP="00953FB7">
            <w:pPr>
              <w:pStyle w:val="NoSpacing"/>
              <w:jc w:val="both"/>
              <w:rPr>
                <w:rFonts w:ascii="Verdana" w:hAnsi="Verdana" w:cstheme="minorHAnsi"/>
                <w:b/>
                <w:bCs/>
                <w:sz w:val="20"/>
                <w:szCs w:val="20"/>
              </w:rPr>
            </w:pPr>
          </w:p>
          <w:p w14:paraId="30950528" w14:textId="77777777" w:rsidR="00823E6E" w:rsidRPr="0032182C" w:rsidRDefault="00823E6E" w:rsidP="00B466A0">
            <w:pPr>
              <w:pStyle w:val="NoSpacing"/>
              <w:jc w:val="both"/>
              <w:rPr>
                <w:rFonts w:ascii="Verdana" w:hAnsi="Verdana"/>
                <w:b/>
                <w:bCs/>
                <w:sz w:val="20"/>
                <w:szCs w:val="20"/>
              </w:rPr>
            </w:pPr>
          </w:p>
        </w:tc>
      </w:tr>
      <w:tr w:rsidR="00792E17" w:rsidRPr="0032182C" w14:paraId="23FE2CA5"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20C89"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798E4" w14:textId="77777777" w:rsidR="00823E6E" w:rsidRPr="0032182C" w:rsidRDefault="00823E6E" w:rsidP="00953FB7">
            <w:pPr>
              <w:pStyle w:val="NoSpacing"/>
              <w:jc w:val="both"/>
              <w:rPr>
                <w:rFonts w:ascii="Verdana" w:hAnsi="Verdana"/>
                <w:b/>
                <w:bCs/>
                <w:sz w:val="20"/>
                <w:szCs w:val="20"/>
              </w:rPr>
            </w:pPr>
            <w:r>
              <w:rPr>
                <w:rFonts w:ascii="Verdana" w:hAnsi="Verdana"/>
                <w:sz w:val="20"/>
              </w:rPr>
              <w:t>The Supplier has come to an agreement with other Suppliers that aims to distort competition surrounding the Procurement, and the Contracting Authority has convincing data to back this claim.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15AB7"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46(4)(1) of the LPP</w:t>
            </w:r>
          </w:p>
          <w:p w14:paraId="2FA1E9EF" w14:textId="77777777" w:rsidR="00823E6E" w:rsidRPr="0032182C" w:rsidRDefault="00823E6E" w:rsidP="00953FB7">
            <w:pPr>
              <w:pStyle w:val="NoSpacing"/>
              <w:jc w:val="both"/>
              <w:rPr>
                <w:rFonts w:ascii="Verdana" w:eastAsia="Yu Mincho" w:hAnsi="Verdana" w:cs="Arial"/>
                <w:sz w:val="20"/>
                <w:szCs w:val="20"/>
              </w:rPr>
            </w:pPr>
          </w:p>
          <w:p w14:paraId="71984C4A"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C10</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A43F"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58B0FE58" w14:textId="77777777" w:rsidR="00823E6E" w:rsidRPr="0032182C" w:rsidRDefault="00823E6E" w:rsidP="00953FB7">
            <w:pPr>
              <w:pStyle w:val="NoSpacing"/>
              <w:jc w:val="both"/>
              <w:rPr>
                <w:rFonts w:ascii="Verdana" w:hAnsi="Verdana" w:cstheme="minorHAnsi"/>
                <w:bCs/>
                <w:iCs/>
                <w:sz w:val="20"/>
                <w:szCs w:val="20"/>
              </w:rPr>
            </w:pPr>
          </w:p>
          <w:p w14:paraId="191A60BF"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62C012F8"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84B0"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65078" w14:textId="77777777" w:rsidR="00823E6E" w:rsidRPr="0032182C" w:rsidRDefault="00823E6E" w:rsidP="00953FB7">
            <w:pPr>
              <w:pStyle w:val="NoSpacing"/>
              <w:jc w:val="both"/>
              <w:rPr>
                <w:rFonts w:ascii="Verdana" w:hAnsi="Verdana"/>
                <w:b/>
                <w:bCs/>
                <w:sz w:val="20"/>
                <w:szCs w:val="20"/>
              </w:rPr>
            </w:pPr>
            <w:r>
              <w:rPr>
                <w:rFonts w:ascii="Verdana" w:hAnsi="Verdana"/>
                <w:sz w:val="20"/>
              </w:rPr>
              <w:t xml:space="preserve">During the Procurement, the Supplier is involved in a conflict of interest as defined by Article 21 of the LPP, and the resulting situation cannot be corrected. </w:t>
            </w:r>
          </w:p>
          <w:p w14:paraId="5849E116" w14:textId="77777777" w:rsidR="00823E6E" w:rsidRPr="0032182C" w:rsidRDefault="00823E6E" w:rsidP="00953FB7">
            <w:pPr>
              <w:pStyle w:val="NoSpacing"/>
              <w:jc w:val="both"/>
              <w:rPr>
                <w:rFonts w:ascii="Verdana" w:hAnsi="Verdana"/>
                <w:b/>
                <w:bCs/>
                <w:sz w:val="20"/>
                <w:szCs w:val="20"/>
              </w:rPr>
            </w:pPr>
            <w:r>
              <w:rPr>
                <w:rFonts w:ascii="Verdana" w:hAnsi="Verdana"/>
                <w:sz w:val="20"/>
              </w:rPr>
              <w:t>The situation resulting from the conflict of interest shall be deemed to be impossible to correct if the entities with a conflict of interest have determined the decisions made by the Public Procurement Committee or the Contracting Authority and changes to these decisions would violate the provisions of the LPP.</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CEC80"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46(4)(2) of the LPP</w:t>
            </w:r>
          </w:p>
          <w:p w14:paraId="1319A65F" w14:textId="77777777" w:rsidR="00823E6E" w:rsidRPr="0032182C" w:rsidRDefault="00823E6E" w:rsidP="00953FB7">
            <w:pPr>
              <w:pStyle w:val="NoSpacing"/>
              <w:jc w:val="both"/>
              <w:rPr>
                <w:rFonts w:ascii="Verdana" w:eastAsia="Yu Mincho" w:hAnsi="Verdana" w:cs="Arial"/>
                <w:sz w:val="20"/>
                <w:szCs w:val="20"/>
              </w:rPr>
            </w:pPr>
          </w:p>
          <w:p w14:paraId="5A104302"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7BEB"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1789B832" w14:textId="77777777" w:rsidR="00823E6E" w:rsidRPr="0032182C" w:rsidRDefault="00823E6E" w:rsidP="00953FB7">
            <w:pPr>
              <w:pStyle w:val="NoSpacing"/>
              <w:jc w:val="both"/>
              <w:rPr>
                <w:rFonts w:ascii="Verdana" w:hAnsi="Verdana" w:cstheme="minorHAnsi"/>
                <w:bCs/>
                <w:iCs/>
                <w:sz w:val="20"/>
                <w:szCs w:val="20"/>
              </w:rPr>
            </w:pPr>
          </w:p>
          <w:p w14:paraId="196C1721"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D302F55"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4A6F5"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5F04D" w14:textId="77777777" w:rsidR="00823E6E" w:rsidRPr="0032182C" w:rsidRDefault="00823E6E" w:rsidP="00953FB7">
            <w:pPr>
              <w:pStyle w:val="NoSpacing"/>
              <w:jc w:val="both"/>
              <w:rPr>
                <w:rFonts w:ascii="Verdana" w:hAnsi="Verdana"/>
                <w:b/>
                <w:bCs/>
                <w:sz w:val="20"/>
                <w:szCs w:val="20"/>
              </w:rPr>
            </w:pPr>
            <w:r>
              <w:rPr>
                <w:rFonts w:ascii="Verdana" w:hAnsi="Verdana"/>
                <w:sz w:val="20"/>
              </w:rPr>
              <w:t>Distorted competitive environment as stipulated in Articles 27(3) and (4) of the LPP, and the resulting situation cannot be corrected.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09801"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46(4)(3) of the LPP</w:t>
            </w:r>
          </w:p>
          <w:p w14:paraId="56D45CFE" w14:textId="77777777" w:rsidR="00823E6E" w:rsidRPr="0032182C" w:rsidRDefault="00823E6E" w:rsidP="00953FB7">
            <w:pPr>
              <w:pStyle w:val="NoSpacing"/>
              <w:jc w:val="both"/>
              <w:rPr>
                <w:rFonts w:ascii="Verdana" w:eastAsia="Yu Mincho" w:hAnsi="Verdana" w:cs="Arial"/>
                <w:sz w:val="20"/>
                <w:szCs w:val="20"/>
              </w:rPr>
            </w:pPr>
          </w:p>
          <w:p w14:paraId="2C005511"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 xml:space="preserve">ESPD, Part III, point C13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C2A05"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6A74C82C"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3D67A58"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48035"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75129" w14:textId="77777777" w:rsidR="00823E6E" w:rsidRPr="0032182C" w:rsidRDefault="00823E6E" w:rsidP="00953FB7">
            <w:pPr>
              <w:pStyle w:val="NoSpacing"/>
              <w:jc w:val="both"/>
              <w:rPr>
                <w:rFonts w:ascii="Verdana" w:hAnsi="Verdana"/>
                <w:sz w:val="20"/>
                <w:szCs w:val="20"/>
              </w:rPr>
            </w:pPr>
            <w:r>
              <w:rPr>
                <w:rFonts w:ascii="Verdana" w:hAnsi="Verdana"/>
                <w:sz w:val="20"/>
              </w:rPr>
              <w:t xml:space="preserve">During the Procurement Procedure, the Supplier failed to disclose relevant information or provided false information about their compliance with the requirements laid down in Articles 46 and 47 of the Republic of Lithuania Law on Public Procurement, and the Contracting Authority can prove this by any legal means, or the Supplier failed to provide the documents required by Article 50 of the Republic of Lithuania Law on Public Procurement to confirm the false information. </w:t>
            </w:r>
          </w:p>
          <w:p w14:paraId="5BC17EEA"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 xml:space="preserve">On this basis, the Supplier shall also be excluded from the Procurement Procedure where, during previous procedures carried out in accordance with the procedure laid down in the Republic of Lithuania Law on Public Procurement in the Field of Defence and Security, the Republic of Lithuania Law on Procurement by Contracting Authorities in the Field of Water Management, Energy, Transport or Postal Services or the Republic of Lithuania Law on Concessions, they have withheld information or provided false information referred to in this paragraph or the Supplier has been unable to provide the supporting documents required under Article 50 of the Republic of Lithuania Law on Public Procurement due to the false information submitted, with the result that they have been excluded from the procurement or concession award procedures within the last year. </w:t>
            </w:r>
          </w:p>
          <w:p w14:paraId="292EBBDD" w14:textId="77777777" w:rsidR="00823E6E" w:rsidRPr="0032182C" w:rsidRDefault="00823E6E" w:rsidP="00953FB7">
            <w:pPr>
              <w:pStyle w:val="NoSpacing"/>
              <w:jc w:val="both"/>
              <w:rPr>
                <w:rFonts w:ascii="Verdana" w:hAnsi="Verdana" w:cstheme="minorHAnsi"/>
                <w:bCs/>
                <w:sz w:val="20"/>
                <w:szCs w:val="20"/>
              </w:rPr>
            </w:pPr>
            <w:r>
              <w:rPr>
                <w:rFonts w:ascii="Verdana" w:hAnsi="Verdana"/>
                <w:sz w:val="20"/>
              </w:rPr>
              <w:t xml:space="preserve">On this basis, the Supplier shall also be excluded from the Procurement Procedure where, in accordance with the legislation of other countries, they have withheld information or provided false information in previous procedures or has been unable to provide supporting documents due to the provision of false </w:t>
            </w:r>
            <w:r>
              <w:rPr>
                <w:rFonts w:ascii="Verdana" w:hAnsi="Verdana"/>
                <w:sz w:val="20"/>
              </w:rPr>
              <w:lastRenderedPageBreak/>
              <w:t>information, which has led to exclusion from procurement or concession award procedures or other similar sanctions in the last one year.</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9D37F"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lastRenderedPageBreak/>
              <w:t>Article 46(4)(4) of the LPP</w:t>
            </w:r>
          </w:p>
          <w:p w14:paraId="25636A2F" w14:textId="77777777" w:rsidR="00823E6E" w:rsidRPr="0032182C" w:rsidRDefault="00823E6E" w:rsidP="00953FB7">
            <w:pPr>
              <w:pStyle w:val="NoSpacing"/>
              <w:jc w:val="both"/>
              <w:rPr>
                <w:rFonts w:ascii="Verdana" w:eastAsia="Yu Mincho" w:hAnsi="Verdana" w:cs="Arial"/>
                <w:sz w:val="20"/>
                <w:szCs w:val="20"/>
              </w:rPr>
            </w:pPr>
          </w:p>
          <w:p w14:paraId="71ED45A5"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 xml:space="preserve">ESPD, Part III, point C15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B59A"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2864B155" w14:textId="77777777" w:rsidR="00823E6E" w:rsidRPr="0032182C" w:rsidRDefault="00823E6E" w:rsidP="00953FB7">
            <w:pPr>
              <w:pStyle w:val="NoSpacing"/>
              <w:jc w:val="both"/>
              <w:rPr>
                <w:rFonts w:ascii="Verdana" w:hAnsi="Verdana" w:cstheme="minorHAnsi"/>
                <w:bCs/>
                <w:iCs/>
                <w:sz w:val="20"/>
                <w:szCs w:val="20"/>
              </w:rPr>
            </w:pPr>
          </w:p>
          <w:p w14:paraId="39F3E24C" w14:textId="77777777" w:rsidR="00823E6E" w:rsidRPr="0032182C" w:rsidRDefault="00823E6E" w:rsidP="00953FB7">
            <w:pPr>
              <w:pStyle w:val="NoSpacing"/>
              <w:jc w:val="both"/>
              <w:rPr>
                <w:rFonts w:ascii="Verdana" w:hAnsi="Verdana" w:cstheme="minorHAnsi"/>
                <w:bCs/>
                <w:iCs/>
                <w:sz w:val="20"/>
                <w:szCs w:val="20"/>
              </w:rPr>
            </w:pPr>
          </w:p>
          <w:p w14:paraId="5C3D3DF9" w14:textId="77777777" w:rsidR="00823E6E" w:rsidRPr="0032182C" w:rsidRDefault="00823E6E" w:rsidP="00953FB7">
            <w:pPr>
              <w:pStyle w:val="NoSpacing"/>
              <w:jc w:val="both"/>
              <w:rPr>
                <w:rFonts w:ascii="Verdana" w:hAnsi="Verdana"/>
                <w:b/>
                <w:bCs/>
                <w:sz w:val="20"/>
                <w:szCs w:val="20"/>
              </w:rPr>
            </w:pPr>
            <w:r>
              <w:rPr>
                <w:rFonts w:ascii="Verdana" w:hAnsi="Verdana"/>
                <w:b/>
                <w:sz w:val="20"/>
              </w:rPr>
              <w:t xml:space="preserve">When taking decisions on the exclusion of a supplier from the Procurement Procedure on the grounds for exclusion referred to in this paragraph, account may be taken, inter alia, of the information published in accordance with Article 52 of the Republic of Lithuania Law on Public Procurement: </w:t>
            </w:r>
          </w:p>
          <w:p w14:paraId="347F546C" w14:textId="77777777" w:rsidR="00823E6E" w:rsidRPr="0032182C" w:rsidRDefault="00823E6E" w:rsidP="00953FB7">
            <w:pPr>
              <w:pStyle w:val="NoSpacing"/>
              <w:jc w:val="both"/>
              <w:rPr>
                <w:rFonts w:ascii="Verdana" w:hAnsi="Verdana"/>
                <w:sz w:val="20"/>
                <w:szCs w:val="20"/>
              </w:rPr>
            </w:pPr>
            <w:hyperlink r:id="rId18" w:history="1">
              <w:r>
                <w:rPr>
                  <w:rStyle w:val="Hyperlink"/>
                  <w:rFonts w:ascii="Verdana" w:hAnsi="Verdana"/>
                  <w:sz w:val="20"/>
                </w:rPr>
                <w:t>https://vpt.lrv.lt/lt/nuorodos/kiti-duomenys/powerbi/melaginga-informacija-pateikusiu-tiekeju-sarasas-3/</w:t>
              </w:r>
            </w:hyperlink>
          </w:p>
        </w:tc>
      </w:tr>
      <w:tr w:rsidR="00792E17" w:rsidRPr="0032182C" w14:paraId="37B2250A"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2043E8"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9EF20" w14:textId="77777777" w:rsidR="00823E6E" w:rsidRPr="0032182C" w:rsidRDefault="00823E6E" w:rsidP="00953FB7">
            <w:pPr>
              <w:pStyle w:val="NoSpacing"/>
              <w:jc w:val="both"/>
              <w:rPr>
                <w:rFonts w:ascii="Verdana" w:hAnsi="Verdana"/>
                <w:b/>
                <w:bCs/>
                <w:sz w:val="20"/>
                <w:szCs w:val="20"/>
              </w:rPr>
            </w:pPr>
            <w:r>
              <w:rPr>
                <w:rFonts w:ascii="Verdana" w:hAnsi="Verdana"/>
                <w:sz w:val="20"/>
              </w:rPr>
              <w:t>During the Procurement, the Supplier resorted to illegal conduct in order to influence the decisions of the Contracting Authority, receive confidential information that would have given them an illegal advantage in the Procurement procedure, or provided misleading information that could have had a significant impact on the decisions of the Contracting Authority regarding the disqualification of suppliers, the evaluation of their qualifications or the selection of the successful proposal, and the Contracting Authority can prove this by any legal means.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78248"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46(4)(5) of the LPP</w:t>
            </w:r>
          </w:p>
          <w:p w14:paraId="200DCDF7" w14:textId="77777777" w:rsidR="00823E6E" w:rsidRPr="0032182C" w:rsidRDefault="00823E6E" w:rsidP="00953FB7">
            <w:pPr>
              <w:pStyle w:val="NoSpacing"/>
              <w:jc w:val="both"/>
              <w:rPr>
                <w:rFonts w:ascii="Verdana" w:eastAsia="Yu Mincho" w:hAnsi="Verdana" w:cs="Arial"/>
                <w:sz w:val="20"/>
                <w:szCs w:val="20"/>
              </w:rPr>
            </w:pPr>
          </w:p>
          <w:p w14:paraId="4CA32CFC"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C15</w:t>
            </w:r>
          </w:p>
          <w:p w14:paraId="2B01987D" w14:textId="77777777" w:rsidR="00823E6E" w:rsidRPr="0032182C" w:rsidRDefault="00823E6E" w:rsidP="00953FB7">
            <w:pPr>
              <w:pStyle w:val="NoSpacing"/>
              <w:jc w:val="both"/>
              <w:rPr>
                <w:rFonts w:ascii="Verdana" w:eastAsia="Yu Mincho" w:hAnsi="Verdana" w:cs="Arial"/>
                <w:sz w:val="20"/>
                <w:szCs w:val="20"/>
              </w:rPr>
            </w:pPr>
          </w:p>
          <w:p w14:paraId="7743BE2F" w14:textId="77777777" w:rsidR="00823E6E" w:rsidRPr="0032182C" w:rsidRDefault="00823E6E" w:rsidP="00953FB7">
            <w:pPr>
              <w:pStyle w:val="NoSpacing"/>
              <w:jc w:val="both"/>
              <w:rPr>
                <w:rFonts w:ascii="Verdana" w:eastAsia="Yu Mincho" w:hAnsi="Verdana" w:cs="Arial"/>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41BEA"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560FD02D"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A6ECF8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3D08A"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A42B27" w14:textId="77777777" w:rsidR="00823E6E" w:rsidRPr="0032182C" w:rsidRDefault="00823E6E" w:rsidP="00953FB7">
            <w:pPr>
              <w:spacing w:after="0" w:line="240" w:lineRule="auto"/>
              <w:jc w:val="both"/>
              <w:rPr>
                <w:rFonts w:ascii="Verdana" w:hAnsi="Verdana"/>
                <w:sz w:val="20"/>
              </w:rPr>
            </w:pPr>
            <w:r>
              <w:rPr>
                <w:rFonts w:ascii="Verdana" w:hAnsi="Verdana"/>
                <w:sz w:val="20"/>
              </w:rPr>
              <w:t xml:space="preserve">The Supplier has failed to perform a contract concluded pursuant to the Republic of Lithuania Law on Public Procurement in the Field of Defence and Security or the Republic of Lithuania Law on Procurement Performed by Contracting Entities in the Field of Water Management, Energy, Transport or Postal Services or a concession contract or has improperly performed a concession contract, which was a material breach of contract as set out in Article 6.217 of the Civil Code (hereinafter, material breach of contract), which resulted in the termination of the contract within the last 3 years or in a court decision which has become effective within the last 3 years, satisfying the claim of the Contracting Authority, the contracting entity or the awarding authority for damages incurred as a result of the Supplier’s performance of a material condition of the contract with serious or persistent defects in the Contract, or a decision of the Contracting Authority has been taken within the last 3 years that the Supplier has performed a material condition of the Contract with serious or persistent defects in the Contract </w:t>
            </w:r>
            <w:r>
              <w:rPr>
                <w:rFonts w:ascii="Verdana" w:hAnsi="Verdana"/>
                <w:sz w:val="20"/>
              </w:rPr>
              <w:lastRenderedPageBreak/>
              <w:t xml:space="preserve">and a penalty has been imposed as a result thereof. </w:t>
            </w:r>
          </w:p>
          <w:p w14:paraId="71185C05" w14:textId="77777777" w:rsidR="00823E6E" w:rsidRPr="0032182C" w:rsidRDefault="00823E6E" w:rsidP="00953FB7">
            <w:pPr>
              <w:spacing w:after="0" w:line="240" w:lineRule="auto"/>
              <w:jc w:val="both"/>
              <w:rPr>
                <w:rFonts w:ascii="Verdana" w:hAnsi="Verdana"/>
                <w:sz w:val="20"/>
              </w:rPr>
            </w:pPr>
            <w:r>
              <w:rPr>
                <w:rFonts w:ascii="Verdana" w:hAnsi="Verdana"/>
                <w:sz w:val="20"/>
              </w:rPr>
              <w:t>On these grounds, the Supplier shall also be excluded from the Procurement Procedure where, in the past three years, based on the laws of other countries, it has been established that the Supplier, in completing their contractual obligations, their obligations in a previous procurement with a contracting entity or a previous concession agreement, fulfilled the essential requirements of the procurement contract with significant or constant shortcomings resulting in the premature termination of the procurement contract, demands to compensate damage or other such sanctions.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F1889"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lastRenderedPageBreak/>
              <w:t>Article 46(4)(6) of the LPP</w:t>
            </w:r>
          </w:p>
          <w:p w14:paraId="62AD2F30" w14:textId="77777777" w:rsidR="00823E6E" w:rsidRPr="0032182C" w:rsidRDefault="00823E6E" w:rsidP="00953FB7">
            <w:pPr>
              <w:pStyle w:val="NoSpacing"/>
              <w:jc w:val="both"/>
              <w:rPr>
                <w:rFonts w:ascii="Verdana" w:eastAsia="Yu Mincho" w:hAnsi="Verdana" w:cs="Arial"/>
                <w:sz w:val="20"/>
                <w:szCs w:val="20"/>
              </w:rPr>
            </w:pPr>
          </w:p>
          <w:p w14:paraId="28F82219"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C14</w:t>
            </w:r>
          </w:p>
          <w:p w14:paraId="5240F4DE" w14:textId="77777777" w:rsidR="00823E6E" w:rsidRPr="0032182C" w:rsidRDefault="00823E6E" w:rsidP="00953FB7">
            <w:pPr>
              <w:pStyle w:val="NoSpacing"/>
              <w:jc w:val="both"/>
              <w:rPr>
                <w:rFonts w:ascii="Verdana" w:eastAsia="Yu Mincho" w:hAnsi="Verdana" w:cs="Arial"/>
                <w:sz w:val="20"/>
                <w:szCs w:val="20"/>
              </w:rPr>
            </w:pPr>
          </w:p>
          <w:p w14:paraId="20FED60C" w14:textId="77777777" w:rsidR="00823E6E" w:rsidRPr="0032182C" w:rsidRDefault="00823E6E" w:rsidP="00953FB7">
            <w:pPr>
              <w:pStyle w:val="NoSpacing"/>
              <w:jc w:val="both"/>
              <w:rPr>
                <w:rFonts w:ascii="Verdana" w:eastAsia="Yu Mincho" w:hAnsi="Verdana" w:cs="Arial"/>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4553"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4D7E7F7B" w14:textId="77777777" w:rsidR="00823E6E" w:rsidRPr="0032182C" w:rsidRDefault="00823E6E" w:rsidP="00953FB7">
            <w:pPr>
              <w:pStyle w:val="NoSpacing"/>
              <w:jc w:val="both"/>
              <w:rPr>
                <w:rFonts w:ascii="Verdana" w:hAnsi="Verdana" w:cstheme="minorHAnsi"/>
                <w:bCs/>
                <w:iCs/>
                <w:sz w:val="20"/>
                <w:szCs w:val="20"/>
              </w:rPr>
            </w:pPr>
          </w:p>
          <w:p w14:paraId="08ED751E" w14:textId="77777777" w:rsidR="00823E6E" w:rsidRPr="0032182C" w:rsidRDefault="00823E6E" w:rsidP="00953FB7">
            <w:pPr>
              <w:pStyle w:val="NoSpacing"/>
              <w:jc w:val="both"/>
              <w:rPr>
                <w:rFonts w:ascii="Verdana" w:hAnsi="Verdana"/>
                <w:b/>
                <w:bCs/>
                <w:sz w:val="20"/>
                <w:szCs w:val="20"/>
              </w:rPr>
            </w:pPr>
            <w:r>
              <w:rPr>
                <w:rFonts w:ascii="Verdana" w:hAnsi="Verdana"/>
                <w:b/>
                <w:sz w:val="20"/>
              </w:rPr>
              <w:t xml:space="preserve">When taking decisions on the exclusion of a supplier from the Procurement Procedure on the grounds for exclusion referred to in this paragraph, account may be taken of the information published in accordance with Article 91 of the Republic of Lithuania Law on Public Procurement: </w:t>
            </w:r>
          </w:p>
          <w:p w14:paraId="18B2B4CD" w14:textId="77777777" w:rsidR="00823E6E" w:rsidRPr="0032182C" w:rsidRDefault="00823E6E" w:rsidP="00953FB7">
            <w:pPr>
              <w:pStyle w:val="NoSpacing"/>
              <w:jc w:val="both"/>
              <w:rPr>
                <w:rFonts w:ascii="Verdana" w:hAnsi="Verdana"/>
                <w:sz w:val="20"/>
                <w:szCs w:val="20"/>
              </w:rPr>
            </w:pPr>
          </w:p>
          <w:p w14:paraId="1ACED918" w14:textId="77777777" w:rsidR="00823E6E" w:rsidRPr="0032182C" w:rsidRDefault="00823E6E" w:rsidP="00953FB7">
            <w:pPr>
              <w:pStyle w:val="NoSpacing"/>
              <w:jc w:val="both"/>
              <w:rPr>
                <w:rFonts w:ascii="Verdana" w:hAnsi="Verdana"/>
                <w:sz w:val="20"/>
                <w:szCs w:val="20"/>
              </w:rPr>
            </w:pPr>
            <w:hyperlink r:id="rId19" w:history="1">
              <w:r>
                <w:rPr>
                  <w:rStyle w:val="Hyperlink"/>
                  <w:rFonts w:ascii="Verdana" w:hAnsi="Verdana"/>
                  <w:sz w:val="20"/>
                </w:rPr>
                <w:t>https://vpt.lrv.lt/lt/nuorodos/kiti-duomenys/powerbi/nepatikimi-tiekejai-1/</w:t>
              </w:r>
            </w:hyperlink>
          </w:p>
          <w:p w14:paraId="0C6B1F2D" w14:textId="77777777" w:rsidR="00823E6E" w:rsidRPr="0032182C" w:rsidRDefault="00823E6E" w:rsidP="00953FB7">
            <w:pPr>
              <w:pStyle w:val="NoSpacing"/>
              <w:jc w:val="both"/>
              <w:rPr>
                <w:rFonts w:ascii="Verdana" w:hAnsi="Verdana"/>
                <w:sz w:val="20"/>
                <w:szCs w:val="20"/>
              </w:rPr>
            </w:pPr>
          </w:p>
          <w:p w14:paraId="0497B055" w14:textId="77777777" w:rsidR="00823E6E" w:rsidRPr="0032182C" w:rsidRDefault="00823E6E" w:rsidP="00953FB7">
            <w:pPr>
              <w:pStyle w:val="NoSpacing"/>
              <w:jc w:val="both"/>
              <w:rPr>
                <w:rFonts w:ascii="Verdana" w:hAnsi="Verdana"/>
                <w:sz w:val="20"/>
                <w:szCs w:val="20"/>
              </w:rPr>
            </w:pPr>
            <w:hyperlink r:id="rId20" w:history="1">
              <w:r>
                <w:rPr>
                  <w:rStyle w:val="Hyperlink"/>
                  <w:rFonts w:ascii="Verdana" w:hAnsi="Verdana"/>
                  <w:sz w:val="20"/>
                </w:rPr>
                <w:t>https://vpt.lrv.lt/lt/pasalinimo-pagrindai-1/nepatikimu-koncesininku-sarasas-1/nepatikimu-koncesininku-sarasas/</w:t>
              </w:r>
            </w:hyperlink>
          </w:p>
          <w:p w14:paraId="4A545C15" w14:textId="77777777" w:rsidR="00823E6E" w:rsidRPr="0032182C" w:rsidRDefault="00823E6E" w:rsidP="00953FB7">
            <w:pPr>
              <w:pStyle w:val="NoSpacing"/>
              <w:jc w:val="both"/>
              <w:rPr>
                <w:rFonts w:ascii="Verdana" w:hAnsi="Verdana" w:cstheme="minorHAnsi"/>
                <w:bCs/>
                <w:sz w:val="20"/>
                <w:szCs w:val="20"/>
              </w:rPr>
            </w:pPr>
          </w:p>
          <w:p w14:paraId="215D7C1B" w14:textId="77777777" w:rsidR="00823E6E" w:rsidRPr="0032182C" w:rsidRDefault="00823E6E" w:rsidP="00953FB7">
            <w:pPr>
              <w:pStyle w:val="NoSpacing"/>
              <w:jc w:val="both"/>
              <w:rPr>
                <w:rFonts w:ascii="Verdana" w:hAnsi="Verdana" w:cstheme="minorHAnsi"/>
                <w:b/>
                <w:bCs/>
                <w:sz w:val="20"/>
                <w:szCs w:val="20"/>
              </w:rPr>
            </w:pPr>
          </w:p>
        </w:tc>
      </w:tr>
      <w:tr w:rsidR="00792E17" w:rsidRPr="0032182C" w14:paraId="6A710451"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D59D2" w14:textId="77777777" w:rsidR="00823E6E" w:rsidRPr="0032182C" w:rsidRDefault="00823E6E" w:rsidP="00C621F3">
            <w:pPr>
              <w:pStyle w:val="NoSpacing"/>
              <w:numPr>
                <w:ilvl w:val="0"/>
                <w:numId w:val="52"/>
              </w:numPr>
              <w:rPr>
                <w:rFonts w:ascii="Verdana" w:hAnsi="Verdana" w:cstheme="minorHAnsi"/>
                <w:sz w:val="20"/>
                <w:szCs w:val="20"/>
              </w:rPr>
            </w:pPr>
          </w:p>
          <w:p w14:paraId="090BA1F6" w14:textId="77777777" w:rsidR="00823E6E" w:rsidRPr="0032182C" w:rsidRDefault="00823E6E" w:rsidP="00953FB7">
            <w:pPr>
              <w:pStyle w:val="NoSpacing"/>
              <w:rPr>
                <w:rFonts w:ascii="Verdana" w:hAnsi="Verdana" w:cstheme="minorHAnsi"/>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11796" w14:textId="77777777" w:rsidR="00823E6E" w:rsidRPr="0032182C" w:rsidRDefault="00823E6E" w:rsidP="00953FB7">
            <w:pPr>
              <w:pStyle w:val="NoSpacing"/>
              <w:jc w:val="both"/>
              <w:rPr>
                <w:rFonts w:ascii="Verdana" w:hAnsi="Verdana"/>
                <w:sz w:val="20"/>
                <w:szCs w:val="20"/>
              </w:rPr>
            </w:pPr>
            <w:r>
              <w:rPr>
                <w:rFonts w:ascii="Verdana" w:hAnsi="Verdana"/>
                <w:sz w:val="20"/>
              </w:rPr>
              <w:t>The Supplier has committed serious professional misconduct, as a result of which the Contracting Authority doubts the Supplier’s good faith, when they</w:t>
            </w:r>
            <w:bookmarkStart w:id="8" w:name="part_030e6c6c64ba4f96a23474e439d1b80c"/>
            <w:bookmarkEnd w:id="8"/>
            <w:r>
              <w:rPr>
                <w:rFonts w:ascii="Verdana" w:hAnsi="Verdana"/>
                <w:sz w:val="20"/>
              </w:rPr>
              <w:t xml:space="preserve"> have committed a violation of the</w:t>
            </w:r>
            <w:r>
              <w:t xml:space="preserve"> </w:t>
            </w:r>
            <w:r>
              <w:rPr>
                <w:rFonts w:ascii="Verdana" w:hAnsi="Verdana"/>
                <w:sz w:val="20"/>
              </w:rPr>
              <w:t>financial reporting and auditing legislation and less than one year has elapsed since the date of the violation.</w:t>
            </w:r>
          </w:p>
          <w:p w14:paraId="28029854" w14:textId="77777777" w:rsidR="00823E6E" w:rsidRPr="0032182C" w:rsidRDefault="00823E6E" w:rsidP="00953FB7">
            <w:pPr>
              <w:spacing w:after="0" w:line="240" w:lineRule="auto"/>
              <w:jc w:val="both"/>
              <w:rPr>
                <w:rFonts w:ascii="Verdana" w:hAnsi="Verdana" w:cs="Calibri"/>
                <w:b/>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A942"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46(4)(7)(a) of the LPP</w:t>
            </w:r>
          </w:p>
          <w:p w14:paraId="765BFB2D" w14:textId="77777777" w:rsidR="00823E6E" w:rsidRPr="0032182C" w:rsidRDefault="00823E6E" w:rsidP="00953FB7">
            <w:pPr>
              <w:pStyle w:val="NoSpacing"/>
              <w:jc w:val="both"/>
              <w:rPr>
                <w:rFonts w:ascii="Verdana" w:eastAsia="Yu Mincho" w:hAnsi="Verdana" w:cs="Arial"/>
                <w:sz w:val="20"/>
                <w:szCs w:val="20"/>
              </w:rPr>
            </w:pPr>
          </w:p>
          <w:p w14:paraId="41BFE203"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E5FE2" w14:textId="77777777" w:rsidR="00823E6E" w:rsidRPr="0032182C" w:rsidRDefault="00823E6E" w:rsidP="00953FB7">
            <w:pPr>
              <w:pStyle w:val="NoSpacing"/>
              <w:jc w:val="both"/>
              <w:rPr>
                <w:rFonts w:ascii="Verdana" w:hAnsi="Verdana"/>
                <w:sz w:val="20"/>
                <w:szCs w:val="20"/>
              </w:rPr>
            </w:pPr>
            <w:r>
              <w:rPr>
                <w:rFonts w:ascii="Verdana" w:hAnsi="Verdana"/>
                <w:sz w:val="20"/>
              </w:rPr>
              <w:t xml:space="preserve">No documentary evidence shall be required from entities established in Lithuania. The ESPD shall suffice. When taking decisions on the exclusion of a Supplier from the Procurement procedure on the grounds for exclusion referred to in this paragraph, account shall be taken, inter alia, of the information published in the national database at: </w:t>
            </w:r>
            <w:hyperlink r:id="rId21" w:history="1">
              <w:r>
                <w:rPr>
                  <w:rStyle w:val="Hyperlink"/>
                  <w:rFonts w:ascii="Verdana" w:hAnsi="Verdana"/>
                  <w:sz w:val="20"/>
                </w:rPr>
                <w:t>https://www.registrucentras.lt/jar/p/index.php</w:t>
              </w:r>
            </w:hyperlink>
            <w:r>
              <w:t>,</w:t>
            </w:r>
          </w:p>
          <w:p w14:paraId="4EC1564A" w14:textId="77777777" w:rsidR="00823E6E" w:rsidRPr="0032182C" w:rsidRDefault="00823E6E" w:rsidP="00953FB7">
            <w:pPr>
              <w:pStyle w:val="NoSpacing"/>
              <w:jc w:val="both"/>
              <w:rPr>
                <w:rFonts w:ascii="Verdana" w:hAnsi="Verdana"/>
                <w:sz w:val="20"/>
                <w:szCs w:val="20"/>
              </w:rPr>
            </w:pPr>
            <w:r>
              <w:rPr>
                <w:rFonts w:ascii="Verdana" w:hAnsi="Verdana"/>
                <w:sz w:val="20"/>
              </w:rPr>
              <w:t>as well as the information provided in this information notice:</w:t>
            </w:r>
          </w:p>
          <w:p w14:paraId="6A183204" w14:textId="77777777" w:rsidR="00823E6E" w:rsidRPr="0032182C" w:rsidRDefault="00823E6E" w:rsidP="00953FB7">
            <w:pPr>
              <w:pStyle w:val="NoSpacing"/>
              <w:jc w:val="both"/>
              <w:rPr>
                <w:rFonts w:ascii="Verdana" w:hAnsi="Verdana"/>
                <w:sz w:val="20"/>
                <w:szCs w:val="20"/>
              </w:rPr>
            </w:pPr>
            <w:hyperlink r:id="rId22" w:history="1">
              <w:r>
                <w:rPr>
                  <w:rStyle w:val="Hyperlink"/>
                  <w:rFonts w:ascii="Verdana" w:hAnsi="Verdana"/>
                  <w:sz w:val="20"/>
                </w:rPr>
                <w:t>https://vpt.lrv.lt/lt/naujienos-3/finansiniu-ataskaitu-nepateikimas-gali-tapti-kliutimi-dalyvauti-viesuosiuose-pirkimuose/</w:t>
              </w:r>
            </w:hyperlink>
          </w:p>
          <w:p w14:paraId="3D43BB30"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463CB90C"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F7623" w14:textId="77777777" w:rsidR="00823E6E" w:rsidRPr="0032182C" w:rsidRDefault="00823E6E" w:rsidP="00C621F3">
            <w:pPr>
              <w:pStyle w:val="NoSpacing"/>
              <w:numPr>
                <w:ilvl w:val="0"/>
                <w:numId w:val="52"/>
              </w:numPr>
              <w:rPr>
                <w:rFonts w:ascii="Verdana" w:hAnsi="Verdana" w:cstheme="minorHAnsi"/>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3E6F8" w14:textId="77777777" w:rsidR="00823E6E" w:rsidRPr="0032182C" w:rsidRDefault="00823E6E" w:rsidP="00953FB7">
            <w:pPr>
              <w:pStyle w:val="NoSpacing"/>
              <w:jc w:val="both"/>
              <w:rPr>
                <w:rFonts w:ascii="Verdana" w:hAnsi="Verdana"/>
                <w:b/>
                <w:bCs/>
                <w:sz w:val="20"/>
                <w:szCs w:val="20"/>
              </w:rPr>
            </w:pPr>
            <w:r>
              <w:rPr>
                <w:rFonts w:ascii="Verdana" w:hAnsi="Verdana"/>
                <w:sz w:val="20"/>
              </w:rPr>
              <w:t>The Supplier has committed serious professional misconduct, as a result of which the Contracting Authority doubts the Supplier’s good faith when they (the Supplier) do not meet the minimum criteria for a reliable taxpayer set out in Article 40</w:t>
            </w:r>
            <w:r>
              <w:rPr>
                <w:rFonts w:ascii="Verdana" w:hAnsi="Verdana"/>
                <w:sz w:val="20"/>
                <w:vertAlign w:val="superscript"/>
              </w:rPr>
              <w:t>1</w:t>
            </w:r>
            <w:r>
              <w:rPr>
                <w:rFonts w:ascii="Verdana" w:hAnsi="Verdana"/>
                <w:sz w:val="20"/>
              </w:rPr>
              <w:t>(1) of the Republic of Lithuania Law on Tax Administration.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09229"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46(4)(7)(b) of the LPP</w:t>
            </w:r>
          </w:p>
          <w:p w14:paraId="07D3EF1D" w14:textId="77777777" w:rsidR="00823E6E" w:rsidRPr="0032182C" w:rsidRDefault="00823E6E" w:rsidP="00953FB7">
            <w:pPr>
              <w:pStyle w:val="NoSpacing"/>
              <w:jc w:val="both"/>
              <w:rPr>
                <w:rFonts w:ascii="Verdana" w:eastAsia="Yu Mincho" w:hAnsi="Verdana" w:cs="Arial"/>
                <w:sz w:val="20"/>
                <w:szCs w:val="20"/>
              </w:rPr>
            </w:pPr>
          </w:p>
          <w:p w14:paraId="6888D232"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4BDE0"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3F2521ED" w14:textId="77777777" w:rsidR="00823E6E" w:rsidRPr="0032182C" w:rsidRDefault="00823E6E" w:rsidP="00953FB7">
            <w:pPr>
              <w:pStyle w:val="NoSpacing"/>
              <w:jc w:val="both"/>
              <w:rPr>
                <w:rFonts w:ascii="Verdana" w:hAnsi="Verdana" w:cstheme="minorHAnsi"/>
                <w:b/>
                <w:bCs/>
                <w:iCs/>
                <w:sz w:val="20"/>
                <w:szCs w:val="20"/>
              </w:rPr>
            </w:pPr>
          </w:p>
          <w:p w14:paraId="0E935BFD" w14:textId="77777777" w:rsidR="00823E6E" w:rsidRPr="0032182C" w:rsidRDefault="00823E6E" w:rsidP="00953FB7">
            <w:pPr>
              <w:pStyle w:val="NoSpacing"/>
              <w:jc w:val="both"/>
              <w:rPr>
                <w:rFonts w:ascii="Verdana" w:hAnsi="Verdana"/>
                <w:b/>
                <w:bCs/>
                <w:sz w:val="20"/>
                <w:szCs w:val="20"/>
              </w:rPr>
            </w:pPr>
            <w:r>
              <w:rPr>
                <w:rFonts w:ascii="Verdana" w:hAnsi="Verdana"/>
                <w:sz w:val="20"/>
              </w:rPr>
              <w:t xml:space="preserve">When taking decisions on the exclusion of a supplier from the Procurement Procedure on the grounds for exclusion referred to in this paragraph, account shall be taken, inter alia, of the information published in the national database at </w:t>
            </w:r>
            <w:hyperlink r:id="rId23">
              <w:r>
                <w:rPr>
                  <w:rStyle w:val="Hyperlink"/>
                  <w:rFonts w:ascii="Verdana" w:hAnsi="Verdana"/>
                  <w:sz w:val="20"/>
                </w:rPr>
                <w:t>https://www.vmi.lt/evmi/mokesciu-moketoju-informacija</w:t>
              </w:r>
            </w:hyperlink>
            <w:r>
              <w:rPr>
                <w:rFonts w:ascii="Verdana" w:hAnsi="Verdana"/>
                <w:sz w:val="20"/>
              </w:rPr>
              <w:t>.</w:t>
            </w:r>
          </w:p>
        </w:tc>
      </w:tr>
      <w:tr w:rsidR="00792E17" w:rsidRPr="0032182C" w14:paraId="36BAE0A2" w14:textId="77777777" w:rsidTr="00327CA9">
        <w:trPr>
          <w:trHeight w:val="421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3EDC8" w14:textId="77777777" w:rsidR="00823E6E" w:rsidRPr="0032182C" w:rsidRDefault="00823E6E" w:rsidP="00C621F3">
            <w:pPr>
              <w:pStyle w:val="NoSpacing"/>
              <w:numPr>
                <w:ilvl w:val="0"/>
                <w:numId w:val="52"/>
              </w:numPr>
              <w:rPr>
                <w:rFonts w:ascii="Verdana" w:hAnsi="Verdana"/>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5E521" w14:textId="77777777" w:rsidR="00823E6E" w:rsidRPr="0032182C" w:rsidRDefault="00823E6E" w:rsidP="00953FB7">
            <w:pPr>
              <w:pStyle w:val="NoSpacing"/>
              <w:jc w:val="both"/>
              <w:rPr>
                <w:rFonts w:ascii="Verdana" w:hAnsi="Verdana"/>
                <w:sz w:val="20"/>
                <w:szCs w:val="20"/>
              </w:rPr>
            </w:pPr>
            <w:r>
              <w:rPr>
                <w:rFonts w:ascii="Verdana" w:hAnsi="Verdana"/>
                <w:sz w:val="20"/>
              </w:rPr>
              <w:t xml:space="preserve">The Supplier has committed serious professional misconduct, as a result of which the Contracting Authority doubts the Supplier’s good faith, when they have committed a violation of the prohibition to enter into forbidden agreements provided for in the Republic of </w:t>
            </w:r>
            <w:r>
              <w:rPr>
                <w:rFonts w:ascii="Verdana" w:hAnsi="Verdana"/>
                <w:color w:val="000000" w:themeColor="text1"/>
                <w:sz w:val="20"/>
              </w:rPr>
              <w:t>Lithuania Law on Competition or a similar law of another country and less than 3 years have elapsed since the date of the violation.</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3E3CE" w14:textId="77777777" w:rsidR="00823E6E" w:rsidRPr="0032182C" w:rsidRDefault="00823E6E" w:rsidP="00953FB7">
            <w:pPr>
              <w:pStyle w:val="NoSpacing"/>
              <w:jc w:val="both"/>
              <w:rPr>
                <w:rFonts w:ascii="Verdana" w:eastAsia="Yu Mincho" w:hAnsi="Verdana" w:cs="Arial"/>
                <w:b/>
                <w:bCs/>
                <w:sz w:val="20"/>
                <w:szCs w:val="20"/>
              </w:rPr>
            </w:pPr>
            <w:r>
              <w:rPr>
                <w:rFonts w:ascii="Verdana" w:hAnsi="Verdana"/>
                <w:b/>
                <w:sz w:val="20"/>
              </w:rPr>
              <w:t>Article 46(4)(7)(c) of the LPP</w:t>
            </w:r>
          </w:p>
          <w:p w14:paraId="47470DE2" w14:textId="77777777" w:rsidR="00823E6E" w:rsidRPr="0032182C" w:rsidRDefault="00823E6E" w:rsidP="00953FB7">
            <w:pPr>
              <w:pStyle w:val="NoSpacing"/>
              <w:jc w:val="both"/>
              <w:rPr>
                <w:rFonts w:ascii="Verdana" w:eastAsia="Yu Mincho" w:hAnsi="Verdana" w:cs="Arial"/>
                <w:sz w:val="20"/>
                <w:szCs w:val="20"/>
              </w:rPr>
            </w:pPr>
          </w:p>
          <w:p w14:paraId="0BEC6BDA" w14:textId="77777777" w:rsidR="00823E6E" w:rsidRPr="0032182C" w:rsidRDefault="00823E6E" w:rsidP="00953FB7">
            <w:pPr>
              <w:pStyle w:val="NoSpacing"/>
              <w:jc w:val="both"/>
              <w:rPr>
                <w:rFonts w:ascii="Verdana" w:eastAsia="Yu Mincho" w:hAnsi="Verdana" w:cs="Arial"/>
                <w:sz w:val="20"/>
                <w:szCs w:val="20"/>
              </w:rPr>
            </w:pPr>
            <w:r>
              <w:rPr>
                <w:rFonts w:ascii="Verdana" w:hAnsi="Verdana"/>
                <w:sz w:val="20"/>
              </w:rPr>
              <w:t>ESPD, Part III, point C11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23F06" w14:textId="77777777" w:rsidR="00823E6E" w:rsidRPr="0032182C" w:rsidRDefault="00823E6E" w:rsidP="00953FB7">
            <w:pPr>
              <w:pStyle w:val="NoSpacing"/>
              <w:jc w:val="both"/>
              <w:rPr>
                <w:rFonts w:ascii="Verdana" w:hAnsi="Verdana"/>
                <w:sz w:val="20"/>
                <w:szCs w:val="20"/>
              </w:rPr>
            </w:pPr>
            <w:r>
              <w:rPr>
                <w:rFonts w:ascii="Verdana" w:hAnsi="Verdana"/>
                <w:sz w:val="20"/>
              </w:rPr>
              <w:t>No documentary evidence shall be required from entities established in Lithuania. The ESPD shall suffice.</w:t>
            </w:r>
          </w:p>
          <w:p w14:paraId="73687ED3" w14:textId="77777777" w:rsidR="00823E6E" w:rsidRPr="0032182C" w:rsidRDefault="00823E6E" w:rsidP="00953FB7">
            <w:pPr>
              <w:pStyle w:val="NoSpacing"/>
              <w:jc w:val="both"/>
              <w:rPr>
                <w:rFonts w:ascii="Verdana" w:hAnsi="Verdana" w:cstheme="minorHAnsi"/>
                <w:bCs/>
                <w:iCs/>
                <w:sz w:val="20"/>
                <w:szCs w:val="20"/>
              </w:rPr>
            </w:pPr>
          </w:p>
          <w:p w14:paraId="0AD666F5" w14:textId="77777777" w:rsidR="00823E6E" w:rsidRPr="0032182C" w:rsidRDefault="00823E6E" w:rsidP="00953FB7">
            <w:pPr>
              <w:rPr>
                <w:rFonts w:ascii="Verdana" w:hAnsi="Verdana"/>
                <w:b/>
                <w:bCs/>
                <w:sz w:val="20"/>
              </w:rPr>
            </w:pPr>
            <w:r>
              <w:rPr>
                <w:rFonts w:ascii="Verdana" w:hAnsi="Verdana"/>
                <w:b/>
                <w:sz w:val="20"/>
              </w:rPr>
              <w:t xml:space="preserve">When taking decisions on the exclusion of a supplier from the Procurement Procedure on the grounds for exclusion referred to in this paragraph, account shall be taken, inter alia, of the information published in the national database at: </w:t>
            </w:r>
          </w:p>
          <w:p w14:paraId="5E3873AF" w14:textId="77777777" w:rsidR="00823E6E" w:rsidRPr="0032182C" w:rsidRDefault="00823E6E" w:rsidP="00327CA9">
            <w:pPr>
              <w:spacing w:after="120"/>
              <w:rPr>
                <w:rFonts w:ascii="Verdana" w:hAnsi="Verdana" w:cstheme="minorHAnsi"/>
                <w:bCs/>
                <w:iCs/>
                <w:sz w:val="20"/>
              </w:rPr>
            </w:pPr>
            <w:hyperlink r:id="rId24" w:history="1">
              <w:r>
                <w:rPr>
                  <w:rStyle w:val="Hyperlink"/>
                  <w:rFonts w:ascii="Verdana" w:hAnsi="Verdana"/>
                  <w:sz w:val="20"/>
                </w:rPr>
                <w:t>https://kt.gov.lt/lt/atviri-duomenys/diskvalifikavimas-is-viesuju-pirkimu</w:t>
              </w:r>
            </w:hyperlink>
            <w:r>
              <w:rPr>
                <w:rFonts w:ascii="Verdana" w:hAnsi="Verdana"/>
                <w:sz w:val="20"/>
              </w:rPr>
              <w:t xml:space="preserve">. </w:t>
            </w:r>
          </w:p>
        </w:tc>
      </w:tr>
    </w:tbl>
    <w:p w14:paraId="2B95DC23" w14:textId="6C805A30" w:rsidR="00DE3FA5" w:rsidRPr="0032182C" w:rsidRDefault="009913DE" w:rsidP="009C3B96">
      <w:pPr>
        <w:pStyle w:val="ListParagraph"/>
        <w:numPr>
          <w:ilvl w:val="1"/>
          <w:numId w:val="43"/>
        </w:numPr>
        <w:tabs>
          <w:tab w:val="left" w:pos="426"/>
        </w:tabs>
        <w:spacing w:after="0" w:line="240" w:lineRule="auto"/>
        <w:ind w:left="578"/>
        <w:jc w:val="both"/>
        <w:rPr>
          <w:rFonts w:ascii="Verdana" w:hAnsi="Verdana"/>
          <w:sz w:val="20"/>
          <w:szCs w:val="20"/>
        </w:rPr>
      </w:pPr>
      <w:r>
        <w:rPr>
          <w:rFonts w:ascii="Verdana" w:hAnsi="Verdana"/>
          <w:sz w:val="20"/>
        </w:rPr>
        <w:t>Qualification requirements for the Supplier:</w:t>
      </w:r>
    </w:p>
    <w:p w14:paraId="1C4CDBF2" w14:textId="57A8050B" w:rsidR="00DE3FA5" w:rsidRPr="0032182C" w:rsidRDefault="009913DE" w:rsidP="004F2F38">
      <w:pPr>
        <w:pStyle w:val="ListParagraph"/>
        <w:numPr>
          <w:ilvl w:val="2"/>
          <w:numId w:val="43"/>
        </w:numPr>
        <w:tabs>
          <w:tab w:val="left" w:pos="426"/>
        </w:tabs>
        <w:spacing w:after="120" w:line="240" w:lineRule="auto"/>
        <w:ind w:left="-142" w:firstLine="0"/>
        <w:jc w:val="both"/>
        <w:rPr>
          <w:rFonts w:ascii="Verdana" w:hAnsi="Verdana"/>
          <w:b/>
          <w:bCs/>
          <w:sz w:val="20"/>
          <w:szCs w:val="20"/>
        </w:rPr>
      </w:pPr>
      <w:r>
        <w:rPr>
          <w:rFonts w:ascii="Verdana" w:hAnsi="Verdana"/>
          <w:b/>
          <w:sz w:val="20"/>
        </w:rPr>
        <w:t>The Supplier is not required to meet quality management system and/or environmental protection management system requirements.</w:t>
      </w:r>
    </w:p>
    <w:p w14:paraId="4D553008" w14:textId="77777777" w:rsidR="00F35ED8" w:rsidRPr="0032182C" w:rsidRDefault="009913DE" w:rsidP="004F2F38">
      <w:pPr>
        <w:pStyle w:val="ListParagraph"/>
        <w:numPr>
          <w:ilvl w:val="1"/>
          <w:numId w:val="43"/>
        </w:numPr>
        <w:tabs>
          <w:tab w:val="left" w:pos="426"/>
        </w:tabs>
        <w:spacing w:before="120" w:after="0" w:line="240" w:lineRule="auto"/>
        <w:ind w:left="-142" w:firstLine="0"/>
        <w:jc w:val="both"/>
        <w:rPr>
          <w:rFonts w:ascii="Verdana" w:hAnsi="Verdana"/>
          <w:sz w:val="20"/>
          <w:szCs w:val="20"/>
        </w:rPr>
      </w:pPr>
      <w:r>
        <w:rPr>
          <w:rFonts w:ascii="Verdana" w:hAnsi="Verdana"/>
          <w:sz w:val="20"/>
        </w:rPr>
        <w:t>The Supplier’s qualification and compliance with the quality/environmental management system standards (if required) must be obtained before the deadline for submission of tenders.</w:t>
      </w:r>
    </w:p>
    <w:p w14:paraId="6B060157" w14:textId="6DE41BD0" w:rsidR="00B2617C" w:rsidRPr="0032182C" w:rsidRDefault="009913DE"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sz w:val="20"/>
        </w:rPr>
        <w:t>Documents issued by the competent authorities of the country of origin of the Supplier shall be accepted from Suppliers registered in a Member State of the European Union, a Member State of the European Economic Area, the Swiss Confederation or a third country, however, such foreign Suppliers shall be required, within a reasonable period of time, to apply to the relevant authority of the Republic of Lithuania for the issue of a document recognising the right. Documents confirming the qualifications of a foreign Supplier may be issued in Lithuania after the deadline for the submission of applications or tenders.</w:t>
      </w:r>
      <w:r w:rsidR="00E222C9">
        <w:rPr>
          <w:rStyle w:val="FootnoteReference"/>
          <w:rFonts w:ascii="Verdana" w:hAnsi="Verdana"/>
          <w:sz w:val="20"/>
        </w:rPr>
        <w:footnoteReference w:id="5"/>
      </w:r>
      <w:r>
        <w:rPr>
          <w:rFonts w:ascii="Verdana" w:hAnsi="Verdana"/>
          <w:sz w:val="20"/>
        </w:rPr>
        <w:t xml:space="preserve"> These documents must be submitted before the deadline specified by the Contracting Authority.</w:t>
      </w:r>
    </w:p>
    <w:p w14:paraId="6E900BC7" w14:textId="77777777" w:rsidR="00B2617C" w:rsidRPr="0032182C" w:rsidRDefault="00027C56"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color w:val="000000"/>
          <w:sz w:val="20"/>
        </w:rPr>
        <w:t xml:space="preserve">The Supplier can engage other entities when it relies on their qualification in order to meet the qualification requirements set by the CA in the Procurement Documents, including a specific authorisation or membership in certain organisations (in the cases and within the scope indicated in the regulatory acts), requirements for financial and economic capacity or technical and professional capacity, as set forth in Article 49(1) of the LPP. </w:t>
      </w:r>
    </w:p>
    <w:p w14:paraId="7CE25488" w14:textId="77777777" w:rsidR="00B2617C" w:rsidRPr="0032182C" w:rsidRDefault="00554D00"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color w:val="000000"/>
          <w:sz w:val="20"/>
        </w:rPr>
        <w:t xml:space="preserve">The Supplier can rely on such capacities of other economic entities that it could in fact dispose of at the time of the execution of the contract. </w:t>
      </w:r>
      <w:r>
        <w:rPr>
          <w:rFonts w:ascii="Verdana" w:hAnsi="Verdana"/>
          <w:sz w:val="20"/>
        </w:rPr>
        <w:t xml:space="preserve">The Supplier must provide evidence confirming that the resources of the Entity Engaged will be available to the Supplier throughout the performance of the procurement contract. </w:t>
      </w:r>
      <w:r>
        <w:rPr>
          <w:rFonts w:ascii="Verdana" w:hAnsi="Verdana"/>
          <w:sz w:val="20"/>
          <w:bdr w:val="nil"/>
        </w:rPr>
        <w:t>As proof, copies of procurement contracts or other documents confirming that the Supplier will have access to the resources of other entities must be submitted.</w:t>
      </w:r>
    </w:p>
    <w:p w14:paraId="3060C664" w14:textId="77777777" w:rsidR="00B2617C" w:rsidRPr="0032182C" w:rsidRDefault="0005762C"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sz w:val="20"/>
        </w:rPr>
        <w:t xml:space="preserve">If the Supplier intends to hire </w:t>
      </w:r>
      <w:proofErr w:type="spellStart"/>
      <w:r>
        <w:rPr>
          <w:rFonts w:ascii="Verdana" w:hAnsi="Verdana"/>
          <w:sz w:val="20"/>
        </w:rPr>
        <w:t>Subsuppliers</w:t>
      </w:r>
      <w:proofErr w:type="spellEnd"/>
      <w:r>
        <w:rPr>
          <w:rFonts w:ascii="Verdana" w:hAnsi="Verdana"/>
          <w:sz w:val="20"/>
        </w:rPr>
        <w:t xml:space="preserve"> or specialists who are not staffed by the Supplier or the </w:t>
      </w:r>
      <w:proofErr w:type="spellStart"/>
      <w:r>
        <w:rPr>
          <w:rFonts w:ascii="Verdana" w:hAnsi="Verdana"/>
          <w:sz w:val="20"/>
        </w:rPr>
        <w:t>Subsupplier</w:t>
      </w:r>
      <w:proofErr w:type="spellEnd"/>
      <w:r>
        <w:rPr>
          <w:rFonts w:ascii="Verdana" w:hAnsi="Verdana"/>
          <w:sz w:val="20"/>
        </w:rPr>
        <w:t>(s) at the time of submission of the Tender, but would be in the event of a winning tender, the Supplier is required to provide evidence that such human resourced will be available to the Supplier throughout the duration of the contract. This availability shall be proved by providing digital copies of the signed preliminary contracts, protocols of intent or other equivalent documents that indicate how and to what extent the capacities of other economic entities will be used and the obligations of each party in the fulfilment of the Procurement contract that the Supplier intends to conclude with the CA.</w:t>
      </w:r>
    </w:p>
    <w:p w14:paraId="0B56AA6E" w14:textId="08E00AFD" w:rsidR="00B2617C" w:rsidRPr="0032182C" w:rsidRDefault="0019329E"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sz w:val="20"/>
        </w:rPr>
        <w:t>When proving the right to engage in activities required to execute the procurement contract and/or education and professional qualification of the Supplier or its specialists (if applicable), the Supplier can rely on the capacities of other economic entities only if these entities will provide the services, which require their capacities as it is indicated in Article 49(1) of the LPP.</w:t>
      </w:r>
    </w:p>
    <w:p w14:paraId="074E6FB9" w14:textId="77777777" w:rsidR="00B418FD" w:rsidRPr="0032182C" w:rsidRDefault="000E231C"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sz w:val="20"/>
        </w:rPr>
        <w:t xml:space="preserve">At any time during the Procurement procedure the CA may request Suppliers to submit all or a part of the documents confirming the absence of the grounds for their exclusion and compliance </w:t>
      </w:r>
      <w:r>
        <w:rPr>
          <w:rFonts w:ascii="Verdana" w:hAnsi="Verdana"/>
          <w:sz w:val="20"/>
        </w:rPr>
        <w:lastRenderedPageBreak/>
        <w:t>with the qualification requirements (if applicable), if it is necessary to ensure proper performance of the Procurement procedure.</w:t>
      </w:r>
    </w:p>
    <w:p w14:paraId="71DD6068" w14:textId="5AE342AD" w:rsidR="00B418FD" w:rsidRPr="0032182C" w:rsidRDefault="00B418FD" w:rsidP="0080028A">
      <w:pPr>
        <w:pStyle w:val="ListParagraph"/>
        <w:numPr>
          <w:ilvl w:val="1"/>
          <w:numId w:val="43"/>
        </w:numPr>
        <w:tabs>
          <w:tab w:val="left" w:pos="426"/>
        </w:tabs>
        <w:spacing w:after="0" w:line="240" w:lineRule="auto"/>
        <w:ind w:left="-142" w:firstLine="0"/>
        <w:jc w:val="both"/>
        <w:rPr>
          <w:rFonts w:ascii="Verdana" w:hAnsi="Verdana"/>
          <w:sz w:val="20"/>
          <w:szCs w:val="20"/>
        </w:rPr>
      </w:pPr>
      <w:r>
        <w:rPr>
          <w:rFonts w:ascii="Verdana" w:hAnsi="Verdana"/>
          <w:b/>
          <w:sz w:val="20"/>
        </w:rPr>
        <w:t>Documents confirming the Supplier’s qualifications (if required) and the absence of grounds for exclusion will only be requested by the CA from the Supplier who submitted the most economically advantageous Tender before determining the successful Tender,</w:t>
      </w:r>
      <w:r>
        <w:rPr>
          <w:rStyle w:val="normaltextrun"/>
          <w:rFonts w:ascii="Verdana" w:hAnsi="Verdana"/>
          <w:b/>
          <w:color w:val="000000"/>
          <w:sz w:val="20"/>
          <w:shd w:val="clear" w:color="auto" w:fill="FFFFFF"/>
        </w:rPr>
        <w:t xml:space="preserve"> if the Contracting Authority has reasonable doubts about the Supplier’s compliance.</w:t>
      </w:r>
      <w:r>
        <w:rPr>
          <w:rStyle w:val="normaltextrun"/>
          <w:rFonts w:ascii="Verdana" w:hAnsi="Verdana"/>
          <w:color w:val="000000"/>
          <w:sz w:val="20"/>
          <w:shd w:val="clear" w:color="auto" w:fill="FFFFFF"/>
        </w:rPr>
        <w:t> </w:t>
      </w:r>
    </w:p>
    <w:p w14:paraId="6861F8F5" w14:textId="191BB8B5" w:rsidR="00FB4BB7" w:rsidRPr="0032182C" w:rsidRDefault="0091000D" w:rsidP="0080028A">
      <w:pPr>
        <w:pStyle w:val="ListParagraph"/>
        <w:numPr>
          <w:ilvl w:val="1"/>
          <w:numId w:val="50"/>
        </w:numPr>
        <w:tabs>
          <w:tab w:val="left" w:pos="426"/>
          <w:tab w:val="left" w:pos="567"/>
        </w:tabs>
        <w:spacing w:after="0" w:line="240" w:lineRule="auto"/>
        <w:ind w:left="-142" w:firstLine="0"/>
        <w:jc w:val="both"/>
        <w:rPr>
          <w:rFonts w:ascii="Verdana" w:hAnsi="Verdana"/>
          <w:bCs/>
          <w:sz w:val="20"/>
          <w:szCs w:val="20"/>
        </w:rPr>
      </w:pPr>
      <w:r>
        <w:rPr>
          <w:rFonts w:ascii="Verdana" w:hAnsi="Verdana"/>
          <w:sz w:val="20"/>
        </w:rPr>
        <w:t xml:space="preserve"> Where a Supplier’s qualification with regard to its right to engage in a respective activity is not checked or is checked not in full, the Supplier commits to the CA that the procurement contract will only be executed by persons having such a right. </w:t>
      </w:r>
    </w:p>
    <w:p w14:paraId="02DF48EC" w14:textId="77777777" w:rsidR="00741634" w:rsidRPr="0032182C" w:rsidRDefault="00540167" w:rsidP="005B6D28">
      <w:pPr>
        <w:pStyle w:val="Heading1"/>
        <w:spacing w:before="240" w:after="120"/>
        <w:ind w:left="1560" w:hanging="142"/>
        <w:rPr>
          <w:rFonts w:ascii="Verdana" w:hAnsi="Verdana"/>
          <w:b/>
          <w:sz w:val="20"/>
          <w:szCs w:val="20"/>
        </w:rPr>
      </w:pPr>
      <w:bookmarkStart w:id="9" w:name="_Toc70500203"/>
      <w:r>
        <w:rPr>
          <w:rFonts w:ascii="Verdana" w:hAnsi="Verdana"/>
          <w:b/>
          <w:sz w:val="20"/>
        </w:rPr>
        <w:t>PARTICIPATION OF A GROUP OF SUPPLIERS IN THE PROCUREMENT PROCEDURE</w:t>
      </w:r>
      <w:bookmarkEnd w:id="9"/>
    </w:p>
    <w:p w14:paraId="7FBAFB56" w14:textId="5699D32D" w:rsidR="005162F5" w:rsidRPr="0032182C" w:rsidRDefault="00EA343C" w:rsidP="00C621F3">
      <w:pPr>
        <w:pStyle w:val="ListParagraph"/>
        <w:numPr>
          <w:ilvl w:val="0"/>
          <w:numId w:val="16"/>
        </w:numPr>
        <w:tabs>
          <w:tab w:val="center" w:pos="567"/>
        </w:tabs>
        <w:spacing w:after="0" w:line="240" w:lineRule="auto"/>
        <w:ind w:left="-142" w:firstLine="0"/>
        <w:jc w:val="both"/>
        <w:rPr>
          <w:rFonts w:ascii="Verdana" w:hAnsi="Verdana"/>
          <w:sz w:val="20"/>
          <w:szCs w:val="20"/>
        </w:rPr>
      </w:pPr>
      <w:r>
        <w:rPr>
          <w:rFonts w:ascii="Verdana" w:hAnsi="Verdana"/>
          <w:sz w:val="20"/>
          <w:u w:val="single"/>
        </w:rPr>
        <w:t>Where a group of suppliers participates in the Procurement procedures,</w:t>
      </w:r>
      <w:r>
        <w:rPr>
          <w:rFonts w:ascii="Verdana" w:hAnsi="Verdana"/>
          <w:sz w:val="20"/>
        </w:rPr>
        <w:t xml:space="preserve"> including a temporary group of </w:t>
      </w:r>
      <w:proofErr w:type="spellStart"/>
      <w:proofErr w:type="gramStart"/>
      <w:r>
        <w:rPr>
          <w:rFonts w:ascii="Verdana" w:hAnsi="Verdana"/>
          <w:sz w:val="20"/>
        </w:rPr>
        <w:t>suppliers,</w:t>
      </w:r>
      <w:r>
        <w:rPr>
          <w:rFonts w:ascii="Verdana" w:hAnsi="Verdana"/>
          <w:sz w:val="20"/>
          <w:u w:val="single"/>
        </w:rPr>
        <w:t>it</w:t>
      </w:r>
      <w:proofErr w:type="spellEnd"/>
      <w:proofErr w:type="gramEnd"/>
      <w:r>
        <w:rPr>
          <w:rFonts w:ascii="Verdana" w:hAnsi="Verdana"/>
          <w:sz w:val="20"/>
          <w:u w:val="single"/>
        </w:rPr>
        <w:t xml:space="preserve"> shall submit a joint activity agreement</w:t>
      </w:r>
      <w:r>
        <w:rPr>
          <w:rFonts w:ascii="Verdana" w:hAnsi="Verdana"/>
          <w:sz w:val="20"/>
        </w:rPr>
        <w:t xml:space="preserve"> or its duly certified copy (a digital copy of the document shall be submitted). The joint activity agreement shall specify:</w:t>
      </w:r>
    </w:p>
    <w:p w14:paraId="7AB8D29C" w14:textId="318B735B" w:rsidR="00EA343C" w:rsidRPr="0032182C" w:rsidRDefault="005162F5" w:rsidP="0080028A">
      <w:pPr>
        <w:pStyle w:val="ListParagraph"/>
        <w:numPr>
          <w:ilvl w:val="0"/>
          <w:numId w:val="6"/>
        </w:numPr>
        <w:tabs>
          <w:tab w:val="center" w:pos="567"/>
          <w:tab w:val="left" w:pos="1276"/>
        </w:tabs>
        <w:spacing w:after="0" w:line="240" w:lineRule="auto"/>
        <w:ind w:left="-142" w:firstLine="0"/>
        <w:jc w:val="both"/>
        <w:rPr>
          <w:rFonts w:ascii="Verdana" w:hAnsi="Verdana"/>
          <w:sz w:val="20"/>
          <w:szCs w:val="20"/>
        </w:rPr>
      </w:pPr>
      <w:r>
        <w:rPr>
          <w:rFonts w:ascii="Verdana" w:hAnsi="Verdana"/>
          <w:sz w:val="20"/>
        </w:rPr>
        <w:t>members of the Supplier group, i.e. parties to the agreement;</w:t>
      </w:r>
    </w:p>
    <w:p w14:paraId="48E8A0BA" w14:textId="77777777" w:rsidR="005162F5" w:rsidRPr="0032182C" w:rsidRDefault="005162F5" w:rsidP="0080028A">
      <w:pPr>
        <w:pStyle w:val="ListParagraph"/>
        <w:numPr>
          <w:ilvl w:val="0"/>
          <w:numId w:val="6"/>
        </w:numPr>
        <w:tabs>
          <w:tab w:val="center" w:pos="567"/>
        </w:tabs>
        <w:spacing w:after="0" w:line="240" w:lineRule="auto"/>
        <w:ind w:left="-142" w:firstLine="0"/>
        <w:jc w:val="both"/>
        <w:rPr>
          <w:rFonts w:ascii="Verdana" w:hAnsi="Verdana"/>
          <w:sz w:val="20"/>
          <w:szCs w:val="20"/>
        </w:rPr>
      </w:pPr>
      <w:r>
        <w:rPr>
          <w:rFonts w:ascii="Verdana" w:hAnsi="Verdana"/>
          <w:sz w:val="20"/>
        </w:rPr>
        <w:t>obligations of each party to the agreement in relation to the implementation of the contract to be signed with the CA, and the respective percentage shares of these obligations in the total contract price;</w:t>
      </w:r>
    </w:p>
    <w:p w14:paraId="2CCF5321" w14:textId="77777777" w:rsidR="005162F5" w:rsidRPr="0032182C" w:rsidRDefault="005162F5" w:rsidP="0080028A">
      <w:pPr>
        <w:pStyle w:val="ListParagraph"/>
        <w:numPr>
          <w:ilvl w:val="0"/>
          <w:numId w:val="6"/>
        </w:numPr>
        <w:tabs>
          <w:tab w:val="center" w:pos="567"/>
          <w:tab w:val="left" w:pos="1276"/>
        </w:tabs>
        <w:spacing w:after="0" w:line="240" w:lineRule="auto"/>
        <w:ind w:left="-142" w:firstLine="0"/>
        <w:jc w:val="both"/>
        <w:rPr>
          <w:rFonts w:ascii="Verdana" w:hAnsi="Verdana"/>
          <w:sz w:val="20"/>
          <w:szCs w:val="20"/>
        </w:rPr>
      </w:pPr>
      <w:r>
        <w:rPr>
          <w:rFonts w:ascii="Verdana" w:hAnsi="Verdana"/>
          <w:sz w:val="20"/>
        </w:rPr>
        <w:t>joint liability of all parties to the agreement for the failure to fulfil contractual obligations to the CA;</w:t>
      </w:r>
    </w:p>
    <w:p w14:paraId="3B9D958F" w14:textId="77777777" w:rsidR="005162F5" w:rsidRPr="0032182C" w:rsidRDefault="00B903AB" w:rsidP="0080028A">
      <w:pPr>
        <w:pStyle w:val="ListParagraph"/>
        <w:numPr>
          <w:ilvl w:val="0"/>
          <w:numId w:val="6"/>
        </w:numPr>
        <w:tabs>
          <w:tab w:val="center" w:pos="567"/>
        </w:tabs>
        <w:spacing w:after="0" w:line="240" w:lineRule="auto"/>
        <w:ind w:left="-142" w:firstLine="0"/>
        <w:jc w:val="both"/>
        <w:rPr>
          <w:rFonts w:ascii="Verdana" w:hAnsi="Verdana"/>
          <w:sz w:val="20"/>
          <w:szCs w:val="20"/>
        </w:rPr>
      </w:pPr>
      <w:r>
        <w:rPr>
          <w:rFonts w:ascii="Verdana" w:hAnsi="Verdana"/>
          <w:sz w:val="20"/>
        </w:rPr>
        <w:t>one partner designated as the general representative of the group of Suppliers (for communicating with the CA on issues that might arise during the Tender evaluation procedure and for providing information for Tender evaluation);</w:t>
      </w:r>
    </w:p>
    <w:p w14:paraId="75732E8D" w14:textId="4349225B" w:rsidR="00EA343C" w:rsidRPr="0032182C" w:rsidRDefault="00EA343C" w:rsidP="0080028A">
      <w:pPr>
        <w:numPr>
          <w:ilvl w:val="0"/>
          <w:numId w:val="6"/>
        </w:numPr>
        <w:tabs>
          <w:tab w:val="center" w:pos="567"/>
        </w:tabs>
        <w:spacing w:after="0" w:line="240" w:lineRule="auto"/>
        <w:ind w:left="-142" w:firstLine="0"/>
        <w:jc w:val="both"/>
        <w:rPr>
          <w:rFonts w:ascii="Verdana" w:hAnsi="Verdana"/>
          <w:sz w:val="20"/>
        </w:rPr>
      </w:pPr>
      <w:r>
        <w:rPr>
          <w:rFonts w:ascii="Verdana" w:hAnsi="Verdana"/>
          <w:sz w:val="20"/>
        </w:rPr>
        <w:t>clearly indicated designation of one of the partners as the principal representative (the responsible/main partner under the joint venture agreement) for managing common affairs related to the Procurement, including, but not limited to, submitting the Tender to the CA – if</w:t>
      </w:r>
      <w:r>
        <w:rPr>
          <w:rFonts w:ascii="Verdana" w:hAnsi="Verdana"/>
          <w:color w:val="00B0F0"/>
          <w:sz w:val="20"/>
        </w:rPr>
        <w:t xml:space="preserve"> </w:t>
      </w:r>
      <w:r>
        <w:rPr>
          <w:rFonts w:ascii="Verdana" w:hAnsi="Verdana"/>
          <w:sz w:val="20"/>
        </w:rPr>
        <w:t>the contract is awarded – signing the contract in the name of the partners, providing invoices to the CA, signing the certificate of transfer and acceptance, accepting the CA’s payments and carrying out other tasks.</w:t>
      </w:r>
    </w:p>
    <w:p w14:paraId="1BEFB91E" w14:textId="77777777" w:rsidR="00EA343C" w:rsidRPr="0032182C" w:rsidRDefault="00EA343C" w:rsidP="00C621F3">
      <w:pPr>
        <w:pStyle w:val="ListParagraph"/>
        <w:numPr>
          <w:ilvl w:val="0"/>
          <w:numId w:val="16"/>
        </w:numPr>
        <w:tabs>
          <w:tab w:val="center" w:pos="567"/>
          <w:tab w:val="left" w:pos="1260"/>
        </w:tabs>
        <w:spacing w:after="0" w:line="240" w:lineRule="auto"/>
        <w:ind w:left="-142" w:firstLine="0"/>
        <w:jc w:val="both"/>
        <w:rPr>
          <w:rFonts w:ascii="Verdana" w:hAnsi="Verdana"/>
          <w:sz w:val="20"/>
          <w:szCs w:val="20"/>
        </w:rPr>
      </w:pPr>
      <w:r>
        <w:rPr>
          <w:rFonts w:ascii="Verdana" w:hAnsi="Verdana"/>
          <w:sz w:val="20"/>
        </w:rPr>
        <w:t xml:space="preserve">The CA </w:t>
      </w:r>
      <w:r>
        <w:rPr>
          <w:rFonts w:ascii="Verdana" w:hAnsi="Verdana"/>
          <w:sz w:val="20"/>
          <w:u w:val="single"/>
        </w:rPr>
        <w:t>shall not require</w:t>
      </w:r>
      <w:r>
        <w:rPr>
          <w:rFonts w:ascii="Verdana" w:hAnsi="Verdana"/>
          <w:sz w:val="20"/>
        </w:rPr>
        <w:t xml:space="preserve"> the successful group of Suppliers which is recognised as having submitted the best tender and awarded a contract by the CA to acquire a certain legal status.</w:t>
      </w:r>
    </w:p>
    <w:p w14:paraId="25674B8F" w14:textId="77777777" w:rsidR="00741634" w:rsidRPr="0032182C" w:rsidRDefault="00741634" w:rsidP="00C621F3">
      <w:pPr>
        <w:numPr>
          <w:ilvl w:val="0"/>
          <w:numId w:val="16"/>
        </w:numPr>
        <w:tabs>
          <w:tab w:val="left" w:pos="0"/>
          <w:tab w:val="center" w:pos="567"/>
          <w:tab w:val="left" w:pos="2127"/>
        </w:tabs>
        <w:spacing w:after="0" w:line="240" w:lineRule="auto"/>
        <w:ind w:left="-142" w:firstLine="0"/>
        <w:jc w:val="both"/>
        <w:rPr>
          <w:rFonts w:ascii="Verdana" w:eastAsia="Times New Roman" w:hAnsi="Verdana"/>
          <w:sz w:val="20"/>
        </w:rPr>
      </w:pPr>
      <w:r>
        <w:rPr>
          <w:rFonts w:ascii="Verdana" w:hAnsi="Verdana"/>
          <w:sz w:val="20"/>
        </w:rPr>
        <w:t>The questions submitted by the CA via CVP IS shall be answered by the Supplier authorised to offer a joint tender.</w:t>
      </w:r>
    </w:p>
    <w:p w14:paraId="0C0FE76D" w14:textId="77777777" w:rsidR="00741634" w:rsidRPr="0032182C" w:rsidRDefault="00741634" w:rsidP="005B6D28">
      <w:pPr>
        <w:pStyle w:val="Heading1"/>
        <w:spacing w:before="240" w:after="120"/>
        <w:ind w:left="1702" w:hanging="284"/>
        <w:rPr>
          <w:rFonts w:ascii="Verdana" w:hAnsi="Verdana"/>
          <w:b/>
          <w:sz w:val="20"/>
          <w:szCs w:val="20"/>
        </w:rPr>
      </w:pPr>
      <w:bookmarkStart w:id="10" w:name="_Toc70500204"/>
      <w:r>
        <w:rPr>
          <w:rFonts w:ascii="Verdana" w:hAnsi="Verdana"/>
          <w:b/>
          <w:sz w:val="20"/>
        </w:rPr>
        <w:t>PREPARATION, SUBMISSION AND ALTERATION OF TENDERS</w:t>
      </w:r>
      <w:bookmarkEnd w:id="10"/>
    </w:p>
    <w:p w14:paraId="2BCB304E" w14:textId="20F4B3EA" w:rsidR="00304450" w:rsidRPr="0032182C" w:rsidRDefault="00D042F7" w:rsidP="00C621F3">
      <w:pPr>
        <w:pStyle w:val="BodyText"/>
        <w:numPr>
          <w:ilvl w:val="0"/>
          <w:numId w:val="7"/>
        </w:numPr>
        <w:tabs>
          <w:tab w:val="left" w:pos="426"/>
          <w:tab w:val="left" w:pos="1276"/>
          <w:tab w:val="left" w:pos="2127"/>
        </w:tabs>
        <w:ind w:left="-142" w:firstLine="0"/>
        <w:jc w:val="both"/>
        <w:rPr>
          <w:rFonts w:ascii="Verdana" w:hAnsi="Verdana"/>
          <w:sz w:val="20"/>
          <w:szCs w:val="20"/>
        </w:rPr>
      </w:pPr>
      <w:r>
        <w:rPr>
          <w:rFonts w:ascii="Verdana" w:hAnsi="Verdana"/>
          <w:sz w:val="20"/>
        </w:rPr>
        <w:t xml:space="preserve">The Tender must be submitted using only electronic means via CVP IS and signed by the Supplier or their authorised person with a qualified electronic signature consistent with legal requirements. A qualified electronic signature should be used to certify the entire Tender; it is not necessary to sign each document separately. </w:t>
      </w:r>
      <w:r>
        <w:rPr>
          <w:rFonts w:ascii="Verdana" w:hAnsi="Verdana"/>
          <w:sz w:val="20"/>
          <w:u w:val="single"/>
        </w:rPr>
        <w:t>Tenders submitted in paper envelopes will be returned unopened to the Suppliers and not considered</w:t>
      </w:r>
      <w:r>
        <w:rPr>
          <w:rFonts w:ascii="Verdana" w:hAnsi="Verdana"/>
          <w:sz w:val="20"/>
        </w:rPr>
        <w:t>.</w:t>
      </w:r>
    </w:p>
    <w:p w14:paraId="77AD8607" w14:textId="017074DB" w:rsidR="00934E6C" w:rsidRPr="0032182C" w:rsidRDefault="00304450" w:rsidP="00C621F3">
      <w:pPr>
        <w:pStyle w:val="BodyText"/>
        <w:numPr>
          <w:ilvl w:val="0"/>
          <w:numId w:val="7"/>
        </w:numPr>
        <w:tabs>
          <w:tab w:val="left" w:pos="426"/>
          <w:tab w:val="left" w:pos="1276"/>
          <w:tab w:val="left" w:pos="2127"/>
        </w:tabs>
        <w:ind w:left="-142" w:firstLine="0"/>
        <w:jc w:val="both"/>
        <w:rPr>
          <w:rFonts w:ascii="Verdana" w:hAnsi="Verdana"/>
          <w:sz w:val="20"/>
          <w:szCs w:val="20"/>
        </w:rPr>
      </w:pPr>
      <w:r>
        <w:rPr>
          <w:rFonts w:ascii="Verdana" w:hAnsi="Verdana"/>
          <w:sz w:val="20"/>
        </w:rPr>
        <w:t xml:space="preserve">The Supplier’s Tender and other correspondence shall be presented in </w:t>
      </w:r>
      <w:r>
        <w:rPr>
          <w:rFonts w:ascii="Verdana" w:hAnsi="Verdana"/>
          <w:sz w:val="20"/>
          <w:u w:val="single"/>
        </w:rPr>
        <w:t>Lithuanian or English</w:t>
      </w:r>
      <w:r>
        <w:rPr>
          <w:rFonts w:ascii="Verdana" w:hAnsi="Verdana"/>
          <w:sz w:val="20"/>
        </w:rPr>
        <w:t>. If documents or their copies are presented in any other foreign language, they should be submitted with translations into Lithuanian that are signed off with the translator’s signature and the translation agency’s seal or the signature of the Supplier or their authorised representative and the company seal (if such a seal exists), excluding ESPD, licences, certificates, as well as documents proving the right to sell the goods offered or to represent the manufacturer of the goods and provide warranty service for the goods, technical documentation of the manufacturers’ goods, descriptions of technical characteristics, internet links, etc. These documents or links to publicly available manufacturer’s information on the technical characteristics of the offered goods can be submitted in English (translation into Lithuanian is not required). The Contracting Authority reserves the right to request translations of all documents submitted in languages other than Lithuanian if the content of the documents is unclear or raises doubts.</w:t>
      </w:r>
    </w:p>
    <w:p w14:paraId="43814D1B" w14:textId="0ED0B860" w:rsidR="009D045B" w:rsidRPr="0032182C" w:rsidRDefault="000A0597" w:rsidP="00C621F3">
      <w:pPr>
        <w:numPr>
          <w:ilvl w:val="0"/>
          <w:numId w:val="7"/>
        </w:numPr>
        <w:tabs>
          <w:tab w:val="left" w:pos="426"/>
        </w:tabs>
        <w:spacing w:after="0" w:line="240" w:lineRule="auto"/>
        <w:ind w:left="-142" w:firstLine="0"/>
        <w:jc w:val="both"/>
        <w:rPr>
          <w:rFonts w:ascii="Verdana" w:hAnsi="Verdana"/>
          <w:sz w:val="20"/>
        </w:rPr>
      </w:pPr>
      <w:r>
        <w:rPr>
          <w:rFonts w:ascii="Verdana" w:hAnsi="Verdana"/>
          <w:sz w:val="20"/>
        </w:rPr>
        <w:t xml:space="preserve">Tenders </w:t>
      </w:r>
      <w:r>
        <w:rPr>
          <w:rFonts w:ascii="Verdana" w:hAnsi="Verdana"/>
          <w:sz w:val="20"/>
          <w:u w:val="single"/>
        </w:rPr>
        <w:t xml:space="preserve">can only be submitted by Suppliers registered to CVP IS at </w:t>
      </w:r>
      <w:hyperlink r:id="rId25" w:history="1">
        <w:r>
          <w:rPr>
            <w:rStyle w:val="Hyperlink"/>
            <w:rFonts w:ascii="Verdana" w:hAnsi="Verdana"/>
            <w:sz w:val="20"/>
            <w:u w:val="none"/>
          </w:rPr>
          <w:t>https://viesiejipirkimai.lt/epps/home.do</w:t>
        </w:r>
      </w:hyperlink>
      <w:r>
        <w:rPr>
          <w:rFonts w:ascii="Verdana" w:hAnsi="Verdana"/>
          <w:sz w:val="20"/>
        </w:rPr>
        <w:t>.</w:t>
      </w:r>
      <w:hyperlink w:history="1">
        <w:r>
          <w:rPr>
            <w:rStyle w:val="Hyperlink"/>
            <w:rFonts w:ascii="Verdana" w:hAnsi="Verdana"/>
            <w:sz w:val="20"/>
            <w:u w:val="none"/>
          </w:rPr>
          <w:t xml:space="preserve"> </w:t>
        </w:r>
        <w:r>
          <w:rPr>
            <w:rStyle w:val="Hyperlink"/>
            <w:rFonts w:ascii="Verdana" w:hAnsi="Verdana"/>
            <w:color w:val="auto"/>
            <w:sz w:val="20"/>
            <w:u w:val="none"/>
          </w:rPr>
          <w:t xml:space="preserve">Registration on CVP IS </w:t>
        </w:r>
        <w:proofErr w:type="spellStart"/>
        <w:r>
          <w:rPr>
            <w:rStyle w:val="Hyperlink"/>
            <w:rFonts w:ascii="Verdana" w:hAnsi="Verdana"/>
            <w:color w:val="auto"/>
            <w:sz w:val="20"/>
            <w:u w:val="none"/>
          </w:rPr>
          <w:t>is</w:t>
        </w:r>
        <w:proofErr w:type="spellEnd"/>
        <w:r>
          <w:rPr>
            <w:rStyle w:val="Hyperlink"/>
            <w:rFonts w:ascii="Verdana" w:hAnsi="Verdana"/>
            <w:color w:val="auto"/>
            <w:sz w:val="20"/>
            <w:u w:val="none"/>
          </w:rPr>
          <w:t xml:space="preserve"> free of charge.</w:t>
        </w:r>
      </w:hyperlink>
    </w:p>
    <w:p w14:paraId="5EB914A5" w14:textId="67395070" w:rsidR="00934E6C" w:rsidRPr="0032182C" w:rsidRDefault="000A0597" w:rsidP="00C621F3">
      <w:pPr>
        <w:pStyle w:val="BodyText"/>
        <w:numPr>
          <w:ilvl w:val="0"/>
          <w:numId w:val="7"/>
        </w:numPr>
        <w:tabs>
          <w:tab w:val="left" w:pos="426"/>
          <w:tab w:val="left" w:pos="1276"/>
          <w:tab w:val="left" w:pos="2127"/>
        </w:tabs>
        <w:ind w:left="-142" w:firstLine="0"/>
        <w:jc w:val="both"/>
        <w:rPr>
          <w:rFonts w:ascii="Verdana" w:hAnsi="Verdana"/>
          <w:sz w:val="20"/>
          <w:szCs w:val="20"/>
        </w:rPr>
      </w:pPr>
      <w:r>
        <w:rPr>
          <w:rFonts w:ascii="Verdana" w:hAnsi="Verdana"/>
          <w:sz w:val="20"/>
        </w:rPr>
        <w:t xml:space="preserve">All documents confirming that Suppliers meet the qualification requirements set out in the Procurement Conditions (if required), as well as any documents submitted along with the Tender should be presented in electronic form, i.e. directly created by electronic means, or as digital copies </w:t>
      </w:r>
      <w:r>
        <w:rPr>
          <w:rFonts w:ascii="Verdana" w:hAnsi="Verdana"/>
          <w:sz w:val="20"/>
        </w:rPr>
        <w:lastRenderedPageBreak/>
        <w:t>of the originals. Submitted documents or digital copies of documents should be accessible in non-discriminatory, universally available file formats (e.g. pdf, jpg, doc, docx, etc.).</w:t>
      </w:r>
    </w:p>
    <w:p w14:paraId="1F99C8C9" w14:textId="77777777" w:rsidR="00DC6CD2" w:rsidRPr="0032182C" w:rsidRDefault="0090444D" w:rsidP="00C621F3">
      <w:pPr>
        <w:numPr>
          <w:ilvl w:val="0"/>
          <w:numId w:val="7"/>
        </w:numPr>
        <w:tabs>
          <w:tab w:val="left" w:pos="426"/>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Each Supplier (a natural or legal entity) can only submit </w:t>
      </w:r>
      <w:r>
        <w:rPr>
          <w:rFonts w:ascii="Verdana" w:hAnsi="Verdana"/>
          <w:sz w:val="20"/>
          <w:u w:val="single"/>
        </w:rPr>
        <w:t>one</w:t>
      </w:r>
      <w:r>
        <w:rPr>
          <w:rFonts w:ascii="Verdana" w:hAnsi="Verdana"/>
          <w:sz w:val="20"/>
        </w:rPr>
        <w:t xml:space="preserve"> Tender to the CA, irrespective of whether they submit their Tender as an independent Supplier or as a member of a group of Suppliers (as a party to a joint activity agreement). If the Supplier submits more than one Tender, or a member of a group of Suppliers participates in submitting several Tenders, all such Tenders shall be rejected. The Supplier is deemed to have submitted more than one Tender if they have submitted a tender in writing (a paper version) and using CVP IS.</w:t>
      </w:r>
    </w:p>
    <w:p w14:paraId="73DD9320" w14:textId="77777777" w:rsidR="0090444D" w:rsidRPr="0032182C" w:rsidRDefault="0090444D" w:rsidP="00C621F3">
      <w:pPr>
        <w:pStyle w:val="BodyText"/>
        <w:numPr>
          <w:ilvl w:val="0"/>
          <w:numId w:val="7"/>
        </w:numPr>
        <w:tabs>
          <w:tab w:val="left" w:pos="426"/>
        </w:tabs>
        <w:suppressAutoHyphens/>
        <w:ind w:left="-142" w:firstLine="0"/>
        <w:jc w:val="both"/>
        <w:rPr>
          <w:rFonts w:ascii="Verdana" w:hAnsi="Verdana"/>
          <w:sz w:val="20"/>
          <w:szCs w:val="20"/>
        </w:rPr>
      </w:pPr>
      <w:r>
        <w:rPr>
          <w:rFonts w:ascii="Verdana" w:hAnsi="Verdana"/>
          <w:sz w:val="20"/>
        </w:rPr>
        <w:t>The CA does not allow Suppliers to present alternative Tenders. If the Supplier presents an alternative Tender(s), the Supplier’s Tender and alternative Tender(s) shall be rejected.</w:t>
      </w:r>
    </w:p>
    <w:p w14:paraId="48DD0611" w14:textId="77777777" w:rsidR="0090444D" w:rsidRPr="0032182C" w:rsidRDefault="0090444D" w:rsidP="00C621F3">
      <w:pPr>
        <w:pStyle w:val="BodyText"/>
        <w:numPr>
          <w:ilvl w:val="0"/>
          <w:numId w:val="7"/>
        </w:numPr>
        <w:tabs>
          <w:tab w:val="left" w:pos="426"/>
        </w:tabs>
        <w:ind w:left="-142" w:firstLine="0"/>
        <w:jc w:val="both"/>
        <w:rPr>
          <w:rFonts w:ascii="Verdana" w:hAnsi="Verdana"/>
          <w:sz w:val="20"/>
          <w:szCs w:val="20"/>
        </w:rPr>
      </w:pPr>
      <w:r>
        <w:rPr>
          <w:rFonts w:ascii="Verdana" w:hAnsi="Verdana"/>
          <w:sz w:val="20"/>
        </w:rPr>
        <w:t>The Supplier shall bear all costs related to the preparation and submission of the Tender, and the CA is neither responsible nor liable for these costs. The CA will not respond or accept these costs as its own irrespective of how the Procurement process unfolds or its results.</w:t>
      </w:r>
    </w:p>
    <w:p w14:paraId="2F919380" w14:textId="77777777" w:rsidR="0090444D" w:rsidRPr="0032182C" w:rsidRDefault="0090444D" w:rsidP="00C621F3">
      <w:pPr>
        <w:pStyle w:val="BodyText"/>
        <w:numPr>
          <w:ilvl w:val="0"/>
          <w:numId w:val="7"/>
        </w:numPr>
        <w:tabs>
          <w:tab w:val="left" w:pos="426"/>
        </w:tabs>
        <w:ind w:left="-142" w:firstLine="0"/>
        <w:jc w:val="both"/>
        <w:rPr>
          <w:rFonts w:ascii="Verdana" w:hAnsi="Verdana"/>
          <w:sz w:val="20"/>
          <w:szCs w:val="20"/>
        </w:rPr>
      </w:pPr>
      <w:r>
        <w:rPr>
          <w:rFonts w:ascii="Verdana" w:hAnsi="Verdana"/>
          <w:sz w:val="20"/>
        </w:rPr>
        <w:t>The Supplier’s Tender shall include:</w:t>
      </w:r>
    </w:p>
    <w:p w14:paraId="7B4C884B" w14:textId="4E40CBD5" w:rsidR="00382B9F" w:rsidRPr="0032182C" w:rsidRDefault="0090444D" w:rsidP="0080028A">
      <w:pPr>
        <w:pStyle w:val="BodyText"/>
        <w:numPr>
          <w:ilvl w:val="2"/>
          <w:numId w:val="19"/>
        </w:numPr>
        <w:tabs>
          <w:tab w:val="left" w:pos="426"/>
          <w:tab w:val="left" w:pos="567"/>
        </w:tabs>
        <w:ind w:left="-142" w:firstLine="0"/>
        <w:jc w:val="both"/>
        <w:rPr>
          <w:rFonts w:ascii="Verdana" w:hAnsi="Verdana"/>
          <w:sz w:val="20"/>
          <w:szCs w:val="20"/>
        </w:rPr>
      </w:pPr>
      <w:r>
        <w:rPr>
          <w:rFonts w:ascii="Verdana" w:hAnsi="Verdana"/>
          <w:sz w:val="20"/>
        </w:rPr>
        <w:t>a completed tender form (Annex 2 to the Procurement Conditions);</w:t>
      </w:r>
    </w:p>
    <w:p w14:paraId="5EF764BB" w14:textId="380DB0B5" w:rsidR="0090444D" w:rsidRPr="0032182C" w:rsidRDefault="00082263" w:rsidP="0080028A">
      <w:pPr>
        <w:pStyle w:val="BodyText"/>
        <w:numPr>
          <w:ilvl w:val="2"/>
          <w:numId w:val="19"/>
        </w:numPr>
        <w:tabs>
          <w:tab w:val="left" w:pos="426"/>
          <w:tab w:val="left" w:pos="567"/>
        </w:tabs>
        <w:ind w:left="-142" w:firstLine="0"/>
        <w:jc w:val="both"/>
        <w:rPr>
          <w:rFonts w:ascii="Verdana" w:hAnsi="Verdana"/>
          <w:sz w:val="20"/>
          <w:szCs w:val="20"/>
        </w:rPr>
      </w:pPr>
      <w:r>
        <w:rPr>
          <w:rFonts w:ascii="Verdana" w:hAnsi="Verdana"/>
          <w:sz w:val="20"/>
        </w:rPr>
        <w:t xml:space="preserve">information about the entity whose services will be enlisted for each lot of the Procurement contract if they are known. Together with the Tender, the Supplier must provide evidence confirming that the entities’ capacities will be available to it throughout the duration of the contract; </w:t>
      </w:r>
    </w:p>
    <w:p w14:paraId="35B9BA51" w14:textId="77777777" w:rsidR="0090444D" w:rsidRPr="0032182C" w:rsidRDefault="0090444D" w:rsidP="0080028A">
      <w:pPr>
        <w:numPr>
          <w:ilvl w:val="2"/>
          <w:numId w:val="19"/>
        </w:numPr>
        <w:tabs>
          <w:tab w:val="left" w:pos="426"/>
          <w:tab w:val="left" w:pos="567"/>
        </w:tabs>
        <w:spacing w:after="0" w:line="240" w:lineRule="auto"/>
        <w:ind w:left="-142" w:firstLine="0"/>
        <w:jc w:val="both"/>
        <w:rPr>
          <w:rFonts w:ascii="Verdana" w:hAnsi="Verdana"/>
          <w:sz w:val="20"/>
        </w:rPr>
      </w:pPr>
      <w:r>
        <w:rPr>
          <w:rFonts w:ascii="Verdana" w:hAnsi="Verdana"/>
          <w:sz w:val="20"/>
        </w:rPr>
        <w:t>a power of attorney or any other document that authorises a representative of the Supplier to sign the Supplier’s Tender where the Tender is signed other than by the head of the legal entity;</w:t>
      </w:r>
    </w:p>
    <w:p w14:paraId="76792966" w14:textId="35A7F456" w:rsidR="00E55917" w:rsidRPr="0032182C" w:rsidRDefault="00551DFF" w:rsidP="0080028A">
      <w:pPr>
        <w:pStyle w:val="BodyText"/>
        <w:numPr>
          <w:ilvl w:val="2"/>
          <w:numId w:val="19"/>
        </w:numPr>
        <w:tabs>
          <w:tab w:val="left" w:pos="426"/>
          <w:tab w:val="left" w:pos="567"/>
        </w:tabs>
        <w:ind w:left="-142" w:firstLine="0"/>
        <w:jc w:val="both"/>
        <w:rPr>
          <w:rFonts w:ascii="Verdana" w:hAnsi="Verdana"/>
          <w:sz w:val="20"/>
          <w:szCs w:val="20"/>
        </w:rPr>
      </w:pPr>
      <w:r>
        <w:rPr>
          <w:rFonts w:ascii="Verdana" w:hAnsi="Verdana"/>
          <w:sz w:val="20"/>
        </w:rPr>
        <w:t xml:space="preserve">submitted completed ESPD (Annex 3 to the Procurement Conditions), replacing the documents issued by the competent authorities and provisionally confirming that the Supplier, </w:t>
      </w:r>
      <w:proofErr w:type="spellStart"/>
      <w:r>
        <w:rPr>
          <w:rFonts w:ascii="Verdana" w:hAnsi="Verdana"/>
          <w:sz w:val="20"/>
        </w:rPr>
        <w:t>Subsuppliers</w:t>
      </w:r>
      <w:proofErr w:type="spellEnd"/>
      <w:r>
        <w:rPr>
          <w:rFonts w:ascii="Verdana" w:hAnsi="Verdana"/>
          <w:sz w:val="20"/>
        </w:rPr>
        <w:t xml:space="preserve"> and Entities Engaged (if any) meet the requirements set out in the Procurement Documents, as specified in paragraph 5.9;</w:t>
      </w:r>
      <w:r>
        <w:rPr>
          <w:rFonts w:ascii="Verdana" w:hAnsi="Verdana"/>
          <w:i/>
          <w:sz w:val="20"/>
        </w:rPr>
        <w:t xml:space="preserve"> </w:t>
      </w:r>
    </w:p>
    <w:p w14:paraId="6172E29C" w14:textId="3F790774" w:rsidR="00003CCC" w:rsidRPr="0032182C" w:rsidRDefault="00BA22D1" w:rsidP="0080028A">
      <w:pPr>
        <w:pStyle w:val="BodyText"/>
        <w:numPr>
          <w:ilvl w:val="2"/>
          <w:numId w:val="19"/>
        </w:numPr>
        <w:tabs>
          <w:tab w:val="left" w:pos="426"/>
          <w:tab w:val="left" w:pos="567"/>
        </w:tabs>
        <w:ind w:left="-142" w:firstLine="0"/>
        <w:jc w:val="both"/>
        <w:rPr>
          <w:rFonts w:ascii="Verdana" w:hAnsi="Verdana"/>
          <w:sz w:val="20"/>
          <w:szCs w:val="20"/>
        </w:rPr>
      </w:pPr>
      <w:r>
        <w:rPr>
          <w:rFonts w:ascii="Verdana" w:hAnsi="Verdana"/>
          <w:sz w:val="20"/>
        </w:rPr>
        <w:t>a copy of the joint venture agreement, if a single Tender is submitted by a group of Suppliers acting as a joint venture;</w:t>
      </w:r>
    </w:p>
    <w:p w14:paraId="24D83444" w14:textId="11C6C024" w:rsidR="003A5D81" w:rsidRPr="0032182C" w:rsidRDefault="003A5D81" w:rsidP="0080028A">
      <w:pPr>
        <w:pStyle w:val="BodyText"/>
        <w:numPr>
          <w:ilvl w:val="2"/>
          <w:numId w:val="19"/>
        </w:numPr>
        <w:tabs>
          <w:tab w:val="left" w:pos="426"/>
          <w:tab w:val="left" w:pos="567"/>
          <w:tab w:val="left" w:pos="709"/>
        </w:tabs>
        <w:ind w:left="-142" w:firstLine="0"/>
        <w:jc w:val="both"/>
        <w:rPr>
          <w:rFonts w:ascii="Verdana" w:hAnsi="Verdana"/>
          <w:sz w:val="20"/>
          <w:szCs w:val="20"/>
        </w:rPr>
      </w:pPr>
      <w:r>
        <w:rPr>
          <w:rFonts w:ascii="Verdana" w:hAnsi="Verdana"/>
          <w:sz w:val="20"/>
        </w:rPr>
        <w:t>other information requested in the Procurement Documents or other documents deemed necessary by the Supplier (copies thereof).</w:t>
      </w:r>
    </w:p>
    <w:p w14:paraId="2B21394D" w14:textId="77777777" w:rsidR="00741634" w:rsidRPr="0032182C" w:rsidRDefault="00AA31AD" w:rsidP="00C621F3">
      <w:pPr>
        <w:numPr>
          <w:ilvl w:val="0"/>
          <w:numId w:val="7"/>
        </w:numPr>
        <w:tabs>
          <w:tab w:val="left" w:pos="426"/>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By submitting a Tender, the Supplier confirms that they have carefully read and understood the Procurement Documents, and that their Tender meets the requirements of the Procurement Documents for the Procurement Object in every respect and that the information set forth in their Tender is correct and encompasses everything that is necessary for the proper performance of the Procurement contract.</w:t>
      </w:r>
    </w:p>
    <w:p w14:paraId="55753B17" w14:textId="77777777" w:rsidR="00F91286" w:rsidRPr="0032182C" w:rsidRDefault="00B8079A" w:rsidP="00C621F3">
      <w:pPr>
        <w:numPr>
          <w:ilvl w:val="0"/>
          <w:numId w:val="7"/>
        </w:numPr>
        <w:tabs>
          <w:tab w:val="left" w:pos="426"/>
          <w:tab w:val="left" w:pos="567"/>
        </w:tabs>
        <w:spacing w:after="0" w:line="240" w:lineRule="auto"/>
        <w:ind w:left="-142" w:firstLine="0"/>
        <w:jc w:val="both"/>
        <w:rPr>
          <w:rFonts w:ascii="Verdana" w:eastAsia="Times New Roman" w:hAnsi="Verdana"/>
          <w:sz w:val="20"/>
        </w:rPr>
      </w:pPr>
      <w:r>
        <w:rPr>
          <w:rFonts w:ascii="Verdana" w:hAnsi="Verdana"/>
          <w:sz w:val="20"/>
        </w:rPr>
        <w:t xml:space="preserve"> In accordance with Article 20 of the LPP, the Tender must indicate if any of the information presented as part of the Tender is confidential. Such information includes, first of all, commercial (production) secrets and the confidential aspects of the Tender. A Supplier’s Tender as a whole or application cannot be considered confidential information, but the Supplier can indicate which information contained in the Tender is to be deemed confidential. The following information shall not be deemed confidential:</w:t>
      </w:r>
    </w:p>
    <w:p w14:paraId="74AD75FF" w14:textId="0DD3EAEC"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rPr>
      </w:pPr>
      <w:r>
        <w:rPr>
          <w:rFonts w:ascii="Verdana" w:hAnsi="Verdana"/>
          <w:sz w:val="20"/>
        </w:rPr>
        <w:t xml:space="preserve"> if the information should violate any law that lays down requirements for the disclosure of information or the right to receive information, and the executive regulations of these laws;</w:t>
      </w:r>
    </w:p>
    <w:p w14:paraId="6A08071F" w14:textId="77777777" w:rsidR="00F91286" w:rsidRPr="0032182C" w:rsidRDefault="00F91286"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rPr>
      </w:pPr>
      <w:r>
        <w:rPr>
          <w:rFonts w:ascii="Verdana" w:hAnsi="Verdana"/>
          <w:sz w:val="20"/>
        </w:rPr>
        <w:t xml:space="preserve"> if this would violate the requirements laid down in Article 33 and 58 and 86(9) of the LPP regarding the announcement of a concluded procurement contract, disclosure of information to the tenderers and announcement of a successful Tender, a procurement and preliminary contract concluded, and amendments to these contracts, including information on the price (except for its component parts) of the goods, services or works indicated in the Tender;</w:t>
      </w:r>
    </w:p>
    <w:p w14:paraId="10BCF37E" w14:textId="0528EB34"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rPr>
      </w:pPr>
      <w:r>
        <w:rPr>
          <w:rFonts w:ascii="Verdana" w:hAnsi="Verdana"/>
          <w:sz w:val="20"/>
        </w:rPr>
        <w:t xml:space="preserve"> information presented in the documents in order to prove that there are no grounds for exclusion of a Supplier, the Supplier’s compliance with qualification requirements, the application of a quality management system or an environmental management system, except for information which, when disclosed, would lead to the violation of the Supplier’s contractual obligations to third parties – if this information is necessary to the Supplier to defend its legitimate interests;</w:t>
      </w:r>
    </w:p>
    <w:p w14:paraId="0C24CD1F" w14:textId="07EC092E"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rPr>
      </w:pPr>
      <w:r>
        <w:rPr>
          <w:rFonts w:ascii="Verdana" w:hAnsi="Verdana"/>
          <w:sz w:val="20"/>
        </w:rPr>
        <w:t xml:space="preserve"> on economic entities the capacities of which the Supplier relies on; </w:t>
      </w:r>
      <w:proofErr w:type="spellStart"/>
      <w:r>
        <w:rPr>
          <w:rFonts w:ascii="Verdana" w:hAnsi="Verdana"/>
          <w:sz w:val="20"/>
        </w:rPr>
        <w:t>Subsuppliers</w:t>
      </w:r>
      <w:proofErr w:type="spellEnd"/>
      <w:r>
        <w:rPr>
          <w:rFonts w:ascii="Verdana" w:hAnsi="Verdana"/>
          <w:sz w:val="20"/>
        </w:rPr>
        <w:t xml:space="preserve"> – if information is necessary to the Supplier to defend its legitimate interests.</w:t>
      </w:r>
    </w:p>
    <w:p w14:paraId="391F103D" w14:textId="77777777" w:rsidR="00EC136F" w:rsidRPr="0032182C" w:rsidRDefault="00AA31AD" w:rsidP="00C621F3">
      <w:pPr>
        <w:numPr>
          <w:ilvl w:val="1"/>
          <w:numId w:val="17"/>
        </w:numPr>
        <w:tabs>
          <w:tab w:val="left" w:pos="426"/>
          <w:tab w:val="left" w:pos="567"/>
          <w:tab w:val="left" w:pos="709"/>
        </w:tabs>
        <w:spacing w:after="0" w:line="240" w:lineRule="auto"/>
        <w:ind w:left="-142" w:firstLine="0"/>
        <w:jc w:val="both"/>
        <w:rPr>
          <w:rFonts w:ascii="Verdana" w:eastAsia="Times New Roman" w:hAnsi="Verdana"/>
          <w:sz w:val="20"/>
        </w:rPr>
      </w:pPr>
      <w:r>
        <w:rPr>
          <w:rFonts w:ascii="Verdana" w:hAnsi="Verdana"/>
          <w:sz w:val="20"/>
        </w:rPr>
        <w:t xml:space="preserve"> The CA, the Committee, its members or experts and other individuals cannot disclose information that the Supplier has indicated as confidential. The Supplier shall not indicate publicly announced information or information that is easily accessible to the public as confidential information. </w:t>
      </w:r>
    </w:p>
    <w:p w14:paraId="56BD727B" w14:textId="77777777" w:rsidR="00EC136F" w:rsidRPr="0032182C" w:rsidRDefault="00F33438" w:rsidP="00C621F3">
      <w:pPr>
        <w:numPr>
          <w:ilvl w:val="1"/>
          <w:numId w:val="17"/>
        </w:numPr>
        <w:tabs>
          <w:tab w:val="left" w:pos="426"/>
          <w:tab w:val="left" w:pos="567"/>
        </w:tabs>
        <w:spacing w:after="0" w:line="240" w:lineRule="auto"/>
        <w:ind w:left="-142" w:firstLine="0"/>
        <w:jc w:val="both"/>
        <w:rPr>
          <w:rFonts w:ascii="Verdana" w:hAnsi="Verdana"/>
          <w:sz w:val="20"/>
        </w:rPr>
      </w:pPr>
      <w:r>
        <w:rPr>
          <w:rFonts w:ascii="Verdana" w:hAnsi="Verdana"/>
          <w:color w:val="000000"/>
          <w:sz w:val="20"/>
        </w:rPr>
        <w:t xml:space="preserve"> No later than 6 (six) months after the Procurement contract has been signed,</w:t>
      </w:r>
      <w:r>
        <w:rPr>
          <w:rFonts w:ascii="Verdana" w:hAnsi="Verdana"/>
          <w:i/>
          <w:color w:val="000000"/>
          <w:sz w:val="20"/>
        </w:rPr>
        <w:t xml:space="preserve"> </w:t>
      </w:r>
      <w:r>
        <w:rPr>
          <w:rFonts w:ascii="Verdana" w:hAnsi="Verdana"/>
          <w:sz w:val="20"/>
        </w:rPr>
        <w:t xml:space="preserve">interested Suppliers participating in the Procurement procedure can request that the CA introduce them </w:t>
      </w:r>
      <w:r>
        <w:rPr>
          <w:rFonts w:ascii="Verdana" w:hAnsi="Verdana"/>
          <w:sz w:val="20"/>
          <w:u w:val="single"/>
        </w:rPr>
        <w:t>only</w:t>
      </w:r>
      <w:r>
        <w:rPr>
          <w:rFonts w:ascii="Verdana" w:hAnsi="Verdana"/>
          <w:sz w:val="20"/>
        </w:rPr>
        <w:t xml:space="preserve"> </w:t>
      </w:r>
      <w:r>
        <w:rPr>
          <w:rFonts w:ascii="Verdana" w:hAnsi="Verdana"/>
          <w:sz w:val="20"/>
        </w:rPr>
        <w:lastRenderedPageBreak/>
        <w:t xml:space="preserve">to the Tender of the successful Supplier without disclosing the information that the Suppliers indicated as confidential in compliance with the provisions Article 20(2) of the LPP. </w:t>
      </w:r>
    </w:p>
    <w:p w14:paraId="0C1DEC2C" w14:textId="19DDD8FD" w:rsidR="00503684" w:rsidRPr="0032182C" w:rsidRDefault="00F33438" w:rsidP="00C621F3">
      <w:pPr>
        <w:numPr>
          <w:ilvl w:val="1"/>
          <w:numId w:val="17"/>
        </w:numPr>
        <w:tabs>
          <w:tab w:val="left" w:pos="0"/>
          <w:tab w:val="left" w:pos="567"/>
          <w:tab w:val="left" w:pos="2127"/>
        </w:tabs>
        <w:spacing w:after="0" w:line="240" w:lineRule="auto"/>
        <w:ind w:left="-142" w:firstLine="0"/>
        <w:jc w:val="both"/>
        <w:rPr>
          <w:rFonts w:ascii="Verdana" w:hAnsi="Verdana"/>
          <w:sz w:val="20"/>
        </w:rPr>
      </w:pPr>
      <w:r>
        <w:rPr>
          <w:rFonts w:ascii="Verdana" w:hAnsi="Verdana"/>
          <w:sz w:val="20"/>
        </w:rPr>
        <w:t xml:space="preserve"> In the Tender, the price of the Procurement Object shall be presented in euros and shall be expressed and calculated as stipulated in Annex 2 to the Procurement Conditions. When calculating the price, the Supplier shall consider the entire amount and scope of the Procurement Object, the component parts of the price, technical requirements, etc. as indicated in the Procurement Conditions. The price shall include all intended and incidental costs, expenses related to the submission of invoices to the CA through SAVIS, as well as all relevant taxes, including VAT, i.e. all costs of covering whatever the complete and adequate fulfilment of contractual obligations requires. The price shall be rounded up to the nearest 2 (two) decimal places.</w:t>
      </w:r>
    </w:p>
    <w:p w14:paraId="76D0363D" w14:textId="77777777" w:rsidR="00503684" w:rsidRPr="0032182C" w:rsidRDefault="00F33438"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The Tender shall be valid for a time period specified by the Supplier. </w:t>
      </w:r>
      <w:r>
        <w:rPr>
          <w:rFonts w:ascii="Verdana" w:hAnsi="Verdana"/>
          <w:b/>
          <w:sz w:val="20"/>
        </w:rPr>
        <w:t xml:space="preserve">The Tender must be valid for at least 3 months from the deadline for the submission of Tenders indicated in the Procurement Documents. </w:t>
      </w:r>
      <w:r>
        <w:rPr>
          <w:rFonts w:ascii="Verdana" w:hAnsi="Verdana"/>
          <w:sz w:val="20"/>
        </w:rPr>
        <w:t>If the expiry date is not specified in the Tender, it shall be deemed valid for the time period established in the Procurement Documents.</w:t>
      </w:r>
    </w:p>
    <w:p w14:paraId="69F127DF" w14:textId="77777777" w:rsidR="00503684" w:rsidRPr="0032182C" w:rsidRDefault="00F33438"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 Before the expiry of the Tender, the CA shall have the right to require that Suppliers extend the validity of their Tender to a specified date.</w:t>
      </w:r>
    </w:p>
    <w:p w14:paraId="71E8D54D" w14:textId="77777777" w:rsidR="00503684" w:rsidRPr="0032182C" w:rsidRDefault="00503684"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The CA shall have the right to extend the period for the submission of Tenders. New deadlines for the submission of tenders shall be announced by the CA through CVP IS, and notifications shall be sent to all Suppliers connected to the Procurement.</w:t>
      </w:r>
    </w:p>
    <w:p w14:paraId="118D31AF" w14:textId="77777777" w:rsidR="00503684" w:rsidRPr="0032182C" w:rsidRDefault="00503684"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The Supplier shall have the right to amend or cancel their Tender before the final deadline for the submission of Tenders. After the submission deadline, Suppliers shall not be able to cancel or change their Tenders.</w:t>
      </w:r>
    </w:p>
    <w:p w14:paraId="34B8F5B9" w14:textId="77777777" w:rsidR="00961AF8" w:rsidRPr="0032182C" w:rsidRDefault="00961AF8" w:rsidP="00C621F3">
      <w:pPr>
        <w:pStyle w:val="ListParagraph"/>
        <w:numPr>
          <w:ilvl w:val="1"/>
          <w:numId w:val="17"/>
        </w:numPr>
        <w:tabs>
          <w:tab w:val="left" w:pos="0"/>
          <w:tab w:val="left" w:pos="567"/>
        </w:tabs>
        <w:spacing w:after="0" w:line="240" w:lineRule="auto"/>
        <w:ind w:left="-142" w:firstLine="0"/>
        <w:jc w:val="both"/>
        <w:rPr>
          <w:rFonts w:ascii="Verdana" w:hAnsi="Verdana"/>
          <w:iCs/>
          <w:sz w:val="20"/>
          <w:szCs w:val="20"/>
          <w:u w:val="single"/>
        </w:rPr>
      </w:pPr>
      <w:r>
        <w:rPr>
          <w:rFonts w:ascii="Verdana" w:hAnsi="Verdana"/>
          <w:sz w:val="20"/>
        </w:rPr>
        <w:t xml:space="preserve">Suppliers must be active and present questions or request explanations for Procurement Conditions as soon as they finish analysing them, taking into consideration the fact that it will not be possible to change the content of their Tender after the deadline for the submission of tenders. Any questions or complaints related to the provisions of the Procurement Documents, the Procurement Object or the Technical Specification must be submitted </w:t>
      </w:r>
      <w:r>
        <w:rPr>
          <w:rFonts w:ascii="Verdana" w:hAnsi="Verdana"/>
          <w:sz w:val="20"/>
          <w:u w:val="single"/>
        </w:rPr>
        <w:t>prior to the deadline set out in the Procurement conditions</w:t>
      </w:r>
      <w:r>
        <w:rPr>
          <w:rFonts w:ascii="Verdana" w:hAnsi="Verdana"/>
          <w:sz w:val="20"/>
        </w:rPr>
        <w:t>.</w:t>
      </w:r>
    </w:p>
    <w:p w14:paraId="629242C9" w14:textId="0641CF55" w:rsidR="00452469" w:rsidRPr="0032182C" w:rsidRDefault="00D042F7"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Digital copies of the respective documents and tenders signed with the qualified electronic signature of the Supplier’s manager or the authorised person are deemed to be authentic copies. The CA reserves the right to request original documents.</w:t>
      </w:r>
    </w:p>
    <w:p w14:paraId="43F4A617" w14:textId="77777777" w:rsidR="00A81038" w:rsidRPr="0032182C" w:rsidRDefault="00F33438" w:rsidP="00C621F3">
      <w:pPr>
        <w:pStyle w:val="BodyText"/>
        <w:numPr>
          <w:ilvl w:val="1"/>
          <w:numId w:val="17"/>
        </w:numPr>
        <w:tabs>
          <w:tab w:val="left" w:pos="0"/>
          <w:tab w:val="left" w:pos="567"/>
        </w:tabs>
        <w:ind w:left="-142" w:firstLine="0"/>
        <w:jc w:val="both"/>
        <w:rPr>
          <w:rFonts w:ascii="Verdana" w:hAnsi="Verdana"/>
          <w:sz w:val="20"/>
          <w:szCs w:val="20"/>
        </w:rPr>
      </w:pPr>
      <w:r>
        <w:rPr>
          <w:rFonts w:ascii="Verdana" w:hAnsi="Verdana"/>
          <w:b/>
          <w:sz w:val="20"/>
        </w:rPr>
        <w:t>The electronic Tender must be submitted via CVP IS in compliance with the procedure indicated in Chapter VII of these Procurement Conditions until the term indicated in paragraph 2.3 of the Procurement Conditions.</w:t>
      </w:r>
      <w:r>
        <w:rPr>
          <w:rFonts w:ascii="Verdana" w:hAnsi="Verdana"/>
          <w:sz w:val="20"/>
        </w:rPr>
        <w:t xml:space="preserve"> </w:t>
      </w:r>
    </w:p>
    <w:p w14:paraId="783973C3" w14:textId="60875C81" w:rsidR="000B216C" w:rsidRPr="0032182C" w:rsidRDefault="00524187" w:rsidP="00C621F3">
      <w:pPr>
        <w:pStyle w:val="BodyText"/>
        <w:numPr>
          <w:ilvl w:val="1"/>
          <w:numId w:val="17"/>
        </w:numPr>
        <w:tabs>
          <w:tab w:val="left" w:pos="0"/>
          <w:tab w:val="left" w:pos="567"/>
        </w:tabs>
        <w:ind w:left="-142" w:firstLine="0"/>
        <w:jc w:val="both"/>
        <w:rPr>
          <w:rFonts w:ascii="Verdana" w:hAnsi="Verdana"/>
          <w:sz w:val="20"/>
          <w:szCs w:val="20"/>
        </w:rPr>
      </w:pPr>
      <w:r>
        <w:rPr>
          <w:rFonts w:ascii="Verdana" w:hAnsi="Verdana"/>
          <w:sz w:val="20"/>
        </w:rPr>
        <w:t xml:space="preserve">The CA shall not be held responsible for the unforeseeable circumstances as a result of which Tenders are not received via CVP IS or received late. Tenders received after the deadline for submission of Tenders will be considered not received and will not be evaluated.  In the event of a malfunction of the CVP IS, Suppliers must take the actions specified in the </w:t>
      </w:r>
      <w:r>
        <w:rPr>
          <w:rFonts w:ascii="Verdana" w:hAnsi="Verdana"/>
          <w:i/>
          <w:sz w:val="20"/>
          <w:shd w:val="clear" w:color="auto" w:fill="FFFFFF"/>
        </w:rPr>
        <w:t>Recommendations on actions to be taken by contracting authorities and suppliers in the event of a malfunction of the Central Public Procurement Information System</w:t>
      </w:r>
      <w:r>
        <w:rPr>
          <w:rFonts w:ascii="Verdana" w:hAnsi="Verdana"/>
          <w:sz w:val="20"/>
          <w:shd w:val="clear" w:color="auto" w:fill="FFFFFF"/>
        </w:rPr>
        <w:t>, approved by</w:t>
      </w:r>
      <w:r>
        <w:rPr>
          <w:rFonts w:ascii="Verdana" w:hAnsi="Verdana"/>
          <w:sz w:val="20"/>
        </w:rPr>
        <w:t xml:space="preserve"> </w:t>
      </w:r>
      <w:r>
        <w:rPr>
          <w:rFonts w:ascii="Verdana" w:hAnsi="Verdana"/>
          <w:sz w:val="20"/>
          <w:shd w:val="clear" w:color="auto" w:fill="FFFFFF"/>
        </w:rPr>
        <w:t>Order No 1S-31 of the Director of the Public Procurement Office of 15 March 2018.</w:t>
      </w:r>
    </w:p>
    <w:p w14:paraId="6C9F99B3" w14:textId="77777777" w:rsidR="0025585F" w:rsidRPr="0032182C" w:rsidRDefault="0025585F" w:rsidP="005B6D28">
      <w:pPr>
        <w:pStyle w:val="Heading1"/>
        <w:tabs>
          <w:tab w:val="left" w:pos="142"/>
          <w:tab w:val="left" w:pos="284"/>
          <w:tab w:val="left" w:pos="567"/>
          <w:tab w:val="left" w:pos="851"/>
          <w:tab w:val="left" w:pos="1560"/>
          <w:tab w:val="left" w:pos="1843"/>
          <w:tab w:val="left" w:pos="2694"/>
          <w:tab w:val="left" w:pos="2977"/>
        </w:tabs>
        <w:spacing w:before="240" w:after="120"/>
        <w:ind w:left="-142" w:firstLine="0"/>
        <w:rPr>
          <w:rFonts w:ascii="Verdana" w:hAnsi="Verdana"/>
          <w:b/>
          <w:sz w:val="20"/>
          <w:szCs w:val="20"/>
        </w:rPr>
      </w:pPr>
      <w:bookmarkStart w:id="11" w:name="_Toc70500205"/>
      <w:r>
        <w:rPr>
          <w:rFonts w:ascii="Verdana" w:hAnsi="Verdana"/>
          <w:b/>
          <w:sz w:val="20"/>
        </w:rPr>
        <w:t>ENCRYPTION OF TENDERS</w:t>
      </w:r>
      <w:bookmarkEnd w:id="11"/>
    </w:p>
    <w:p w14:paraId="1A29B228" w14:textId="77777777" w:rsidR="0025585F" w:rsidRPr="0032182C" w:rsidRDefault="0025585F" w:rsidP="00C621F3">
      <w:pPr>
        <w:numPr>
          <w:ilvl w:val="0"/>
          <w:numId w:val="8"/>
        </w:numPr>
        <w:tabs>
          <w:tab w:val="left" w:pos="567"/>
        </w:tabs>
        <w:spacing w:after="0" w:line="240" w:lineRule="auto"/>
        <w:ind w:left="-142" w:firstLine="0"/>
        <w:jc w:val="both"/>
        <w:rPr>
          <w:rFonts w:ascii="Verdana" w:hAnsi="Verdana"/>
          <w:sz w:val="20"/>
        </w:rPr>
      </w:pPr>
      <w:r>
        <w:rPr>
          <w:rFonts w:ascii="Verdana" w:hAnsi="Verdana"/>
          <w:sz w:val="20"/>
        </w:rPr>
        <w:t>Tenders submitted by Suppliers can be encrypted. Having decided that they wish to encrypt their Tender, the Supplier must complete the following steps:</w:t>
      </w:r>
    </w:p>
    <w:p w14:paraId="6F726047" w14:textId="77777777" w:rsidR="0025585F" w:rsidRPr="0032182C" w:rsidRDefault="0025585F" w:rsidP="00C621F3">
      <w:pPr>
        <w:numPr>
          <w:ilvl w:val="0"/>
          <w:numId w:val="9"/>
        </w:numPr>
        <w:tabs>
          <w:tab w:val="left" w:pos="567"/>
        </w:tabs>
        <w:spacing w:after="0" w:line="240" w:lineRule="auto"/>
        <w:ind w:left="-142" w:firstLine="0"/>
        <w:jc w:val="both"/>
        <w:rPr>
          <w:rFonts w:ascii="Verdana" w:hAnsi="Verdana"/>
          <w:sz w:val="20"/>
        </w:rPr>
      </w:pPr>
      <w:r>
        <w:rPr>
          <w:rFonts w:ascii="Verdana" w:hAnsi="Verdana"/>
          <w:sz w:val="20"/>
        </w:rPr>
        <w:t xml:space="preserve">via CVP IS, submit an encrypted tender </w:t>
      </w:r>
      <w:r>
        <w:rPr>
          <w:rFonts w:ascii="Verdana" w:hAnsi="Verdana"/>
          <w:sz w:val="20"/>
          <w:u w:val="single"/>
        </w:rPr>
        <w:t>before the deadline for the submission of tenders</w:t>
      </w:r>
      <w:r>
        <w:rPr>
          <w:rFonts w:ascii="Verdana" w:hAnsi="Verdana"/>
          <w:sz w:val="20"/>
        </w:rPr>
        <w:t xml:space="preserve"> (the Supplier can choose to encrypt the Tender in its entirety or just the document indicating the price of the Tender).</w:t>
      </w:r>
      <w:r>
        <w:rPr>
          <w:rFonts w:ascii="Verdana" w:hAnsi="Verdana"/>
          <w:color w:val="000000"/>
          <w:sz w:val="20"/>
        </w:rPr>
        <w:t xml:space="preserve"> </w:t>
      </w:r>
      <w:r>
        <w:rPr>
          <w:rFonts w:ascii="Verdana" w:hAnsi="Verdana"/>
          <w:sz w:val="20"/>
        </w:rPr>
        <w:t xml:space="preserve">Instructions for encrypting tenders can be found on the </w:t>
      </w:r>
      <w:hyperlink r:id="rId26" w:history="1">
        <w:r>
          <w:rPr>
            <w:rStyle w:val="Hyperlink"/>
            <w:rFonts w:ascii="Verdana" w:hAnsi="Verdana"/>
            <w:color w:val="auto"/>
            <w:sz w:val="20"/>
          </w:rPr>
          <w:t>website</w:t>
        </w:r>
      </w:hyperlink>
      <w:r>
        <w:rPr>
          <w:rFonts w:ascii="Verdana" w:hAnsi="Verdana"/>
          <w:sz w:val="20"/>
        </w:rPr>
        <w:t xml:space="preserve"> of the Public Procurement Office </w:t>
      </w:r>
      <w:r>
        <w:rPr>
          <w:rStyle w:val="Hyperlink"/>
          <w:rFonts w:ascii="Verdana" w:hAnsi="Verdana"/>
          <w:color w:val="auto"/>
          <w:sz w:val="20"/>
        </w:rPr>
        <w:t>(</w:t>
      </w:r>
      <w:hyperlink r:id="rId27" w:history="1">
        <w:r>
          <w:rPr>
            <w:rStyle w:val="Hyperlink"/>
            <w:rFonts w:ascii="Verdana" w:hAnsi="Verdana"/>
            <w:sz w:val="20"/>
          </w:rPr>
          <w:t>http://vpt.lrv.lt/uploads/vpt/documents/files/uzsifravimo_instrukcija.pdf</w:t>
        </w:r>
      </w:hyperlink>
      <w:r>
        <w:rPr>
          <w:rStyle w:val="Hyperlink"/>
          <w:rFonts w:ascii="Verdana" w:hAnsi="Verdana"/>
          <w:color w:val="auto"/>
          <w:sz w:val="20"/>
        </w:rPr>
        <w:t>)</w:t>
      </w:r>
      <w:r>
        <w:rPr>
          <w:rFonts w:ascii="Verdana" w:hAnsi="Verdana"/>
          <w:sz w:val="20"/>
        </w:rPr>
        <w:t>.</w:t>
      </w:r>
    </w:p>
    <w:p w14:paraId="777FF3B0" w14:textId="77777777" w:rsidR="0025585F" w:rsidRPr="0032182C" w:rsidRDefault="0025585F" w:rsidP="00C621F3">
      <w:pPr>
        <w:numPr>
          <w:ilvl w:val="0"/>
          <w:numId w:val="9"/>
        </w:numPr>
        <w:tabs>
          <w:tab w:val="left" w:pos="567"/>
        </w:tabs>
        <w:spacing w:after="0" w:line="240" w:lineRule="auto"/>
        <w:ind w:left="-142" w:firstLine="0"/>
        <w:jc w:val="both"/>
        <w:rPr>
          <w:rFonts w:ascii="Verdana" w:hAnsi="Verdana"/>
          <w:sz w:val="20"/>
        </w:rPr>
      </w:pPr>
      <w:r>
        <w:rPr>
          <w:rFonts w:ascii="Verdana" w:hAnsi="Verdana"/>
          <w:sz w:val="20"/>
        </w:rPr>
        <w:t>prior to the beginning of the unsealing procedure (meeting), use CVP IS correspondence tools to give the CA a password with which it could decipher the encrypted tender. If CPV IS encounters technical problems preventing the Supplier from presenting the password via CVP IS correspondence tools, the Supplier shall have the right to send the password by using other means: Using email addresses indicated in paragraph 2.8 of the Procurement Terms and Conditions, or in writing. In this case, the Supplier must take on an active role and make sure that the password reaches the addressee in time (for example, by calling the official phone number indicated in paragraph 2.8 of the Procurement Conditions and/or via other means).</w:t>
      </w:r>
    </w:p>
    <w:p w14:paraId="78CC99C2" w14:textId="77777777" w:rsidR="0025585F" w:rsidRPr="0032182C" w:rsidRDefault="00BF2A12" w:rsidP="00C621F3">
      <w:pPr>
        <w:numPr>
          <w:ilvl w:val="0"/>
          <w:numId w:val="9"/>
        </w:numPr>
        <w:tabs>
          <w:tab w:val="left" w:pos="567"/>
        </w:tabs>
        <w:spacing w:after="0" w:line="240" w:lineRule="auto"/>
        <w:ind w:left="-142" w:firstLine="0"/>
        <w:jc w:val="both"/>
        <w:rPr>
          <w:rFonts w:ascii="Verdana" w:hAnsi="Verdana"/>
          <w:sz w:val="20"/>
        </w:rPr>
      </w:pPr>
      <w:r>
        <w:rPr>
          <w:rFonts w:ascii="Verdana" w:hAnsi="Verdana"/>
          <w:sz w:val="20"/>
        </w:rPr>
        <w:t xml:space="preserve">If the Supplier fails to provide the encryption password in time for the unsealing procedure (meeting) or provides the wrong password, preventing the CA from deciphering the Tender, the </w:t>
      </w:r>
      <w:r>
        <w:rPr>
          <w:rFonts w:ascii="Verdana" w:hAnsi="Verdana"/>
          <w:sz w:val="20"/>
        </w:rPr>
        <w:lastRenderedPageBreak/>
        <w:t xml:space="preserve">Tender shall be deemed not received and shall not be evaluated. If the Supplier only encrypted the Tender document that indicates the price of the Tender, and the remaining Tender documents were submitted without encryption, </w:t>
      </w:r>
      <w:r>
        <w:rPr>
          <w:rFonts w:ascii="Verdana" w:hAnsi="Verdana"/>
          <w:sz w:val="20"/>
          <w:u w:val="single"/>
        </w:rPr>
        <w:t>the CA shall reject the Tender as failing to meet the requirements laid down in the Procurement Documents</w:t>
      </w:r>
      <w:r>
        <w:rPr>
          <w:rFonts w:ascii="Verdana" w:hAnsi="Verdana"/>
          <w:sz w:val="20"/>
        </w:rPr>
        <w:t xml:space="preserve"> (the Supplier failed to offer a Tender price).</w:t>
      </w:r>
    </w:p>
    <w:p w14:paraId="38CDEBBC" w14:textId="77777777" w:rsidR="00741634" w:rsidRPr="0032182C" w:rsidRDefault="00741634" w:rsidP="005B6D28">
      <w:pPr>
        <w:pStyle w:val="Heading1"/>
        <w:spacing w:before="240" w:after="120"/>
        <w:ind w:left="-142" w:firstLine="0"/>
        <w:rPr>
          <w:rFonts w:ascii="Verdana" w:hAnsi="Verdana"/>
          <w:b/>
          <w:sz w:val="20"/>
          <w:szCs w:val="20"/>
        </w:rPr>
      </w:pPr>
      <w:bookmarkStart w:id="12" w:name="_Toc70500206"/>
      <w:r>
        <w:rPr>
          <w:rFonts w:ascii="Verdana" w:hAnsi="Verdana"/>
          <w:b/>
          <w:sz w:val="20"/>
        </w:rPr>
        <w:t>TENDER SECURITY</w:t>
      </w:r>
      <w:bookmarkEnd w:id="12"/>
    </w:p>
    <w:p w14:paraId="31143C47" w14:textId="77777777" w:rsidR="00741634" w:rsidRPr="0032182C" w:rsidRDefault="00741634" w:rsidP="00C621F3">
      <w:pPr>
        <w:numPr>
          <w:ilvl w:val="0"/>
          <w:numId w:val="10"/>
        </w:numPr>
        <w:tabs>
          <w:tab w:val="left" w:pos="426"/>
          <w:tab w:val="center" w:pos="1134"/>
          <w:tab w:val="left" w:pos="2127"/>
        </w:tabs>
        <w:spacing w:after="0" w:line="240" w:lineRule="auto"/>
        <w:ind w:left="-142" w:firstLine="0"/>
        <w:jc w:val="both"/>
        <w:rPr>
          <w:rFonts w:ascii="Verdana" w:eastAsia="Times New Roman" w:hAnsi="Verdana"/>
          <w:sz w:val="20"/>
        </w:rPr>
      </w:pPr>
      <w:r>
        <w:rPr>
          <w:rFonts w:ascii="Verdana" w:hAnsi="Verdana"/>
          <w:sz w:val="20"/>
        </w:rPr>
        <w:t>The CA does not require Tender security.</w:t>
      </w:r>
    </w:p>
    <w:p w14:paraId="64B63B0F" w14:textId="77777777" w:rsidR="00741634" w:rsidRPr="0032182C" w:rsidRDefault="00BB650D" w:rsidP="005B6D28">
      <w:pPr>
        <w:pStyle w:val="Heading1"/>
        <w:spacing w:before="240" w:after="120"/>
        <w:ind w:left="-142" w:firstLine="0"/>
        <w:rPr>
          <w:rFonts w:ascii="Verdana" w:hAnsi="Verdana"/>
          <w:b/>
          <w:iCs/>
          <w:sz w:val="20"/>
          <w:szCs w:val="20"/>
        </w:rPr>
      </w:pPr>
      <w:bookmarkStart w:id="13" w:name="_Toc70500207"/>
      <w:r>
        <w:rPr>
          <w:rFonts w:ascii="Verdana" w:hAnsi="Verdana"/>
          <w:b/>
          <w:sz w:val="20"/>
        </w:rPr>
        <w:t>PROCEDURE FOR EXPLAINING (DETAILING) PROCUREMENT CONDITIONS</w:t>
      </w:r>
      <w:bookmarkEnd w:id="13"/>
    </w:p>
    <w:p w14:paraId="0FCAEBFF" w14:textId="77777777" w:rsidR="00BB650D" w:rsidRPr="0032182C" w:rsidRDefault="00BB650D" w:rsidP="00C621F3">
      <w:pPr>
        <w:pStyle w:val="BodyText"/>
        <w:numPr>
          <w:ilvl w:val="0"/>
          <w:numId w:val="14"/>
        </w:numPr>
        <w:tabs>
          <w:tab w:val="left" w:pos="567"/>
        </w:tabs>
        <w:ind w:left="-142" w:firstLine="0"/>
        <w:jc w:val="both"/>
        <w:rPr>
          <w:rFonts w:ascii="Verdana" w:hAnsi="Verdana"/>
          <w:sz w:val="20"/>
          <w:szCs w:val="20"/>
        </w:rPr>
      </w:pPr>
      <w:r>
        <w:rPr>
          <w:rFonts w:ascii="Verdana" w:hAnsi="Verdana"/>
          <w:sz w:val="20"/>
        </w:rPr>
        <w:t xml:space="preserve">Answers and enquiries submitted by the CA and the Suppliers within the context of the Procurement procedure shall be written in Lithuanian. The CA shall announce all of the enquiries it receives and the answers to these enquiries as well as any other explanations or additional details via </w:t>
      </w:r>
      <w:r>
        <w:rPr>
          <w:rFonts w:ascii="Verdana" w:hAnsi="Verdana"/>
          <w:b/>
          <w:bCs/>
          <w:sz w:val="20"/>
        </w:rPr>
        <w:t>CVP IS</w:t>
      </w:r>
      <w:r>
        <w:rPr>
          <w:rFonts w:ascii="Verdana" w:hAnsi="Verdana"/>
          <w:sz w:val="20"/>
        </w:rPr>
        <w:t>, where all the relevant Procurement Documents are posted.</w:t>
      </w:r>
    </w:p>
    <w:p w14:paraId="6C483B51" w14:textId="77777777" w:rsidR="00BB650D" w:rsidRPr="0032182C" w:rsidRDefault="00BB650D" w:rsidP="00C621F3">
      <w:pPr>
        <w:pStyle w:val="BodyText"/>
        <w:numPr>
          <w:ilvl w:val="0"/>
          <w:numId w:val="14"/>
        </w:numPr>
        <w:tabs>
          <w:tab w:val="left" w:pos="567"/>
        </w:tabs>
        <w:ind w:left="-142" w:firstLine="0"/>
        <w:jc w:val="both"/>
        <w:rPr>
          <w:rFonts w:ascii="Verdana" w:hAnsi="Verdana"/>
          <w:sz w:val="20"/>
          <w:szCs w:val="20"/>
        </w:rPr>
      </w:pPr>
      <w:r>
        <w:rPr>
          <w:rFonts w:ascii="Verdana" w:hAnsi="Verdana"/>
          <w:sz w:val="20"/>
        </w:rPr>
        <w:t>The Supplier can request the CA to explain the Procurement Documents. The CA will answer each Supplier’s request to explain the Procurement Documents if the request is received by the deadline indicated in paragraph 2.12 of the Procurement Conditions. The CA shall post a response to the Supplier’s enquiry without disclosing who the enquiry was sent by. Suppliers must be active and present questions or request to explain the Procurement Conditions as soon as their finish analysing them, taking into consideration the fact that it will not be possible to change the content of the Tender after the deadline for the submission of Tenders.</w:t>
      </w:r>
    </w:p>
    <w:p w14:paraId="355274F1" w14:textId="77777777" w:rsidR="00334B4E" w:rsidRPr="0032182C" w:rsidRDefault="00BB650D" w:rsidP="00C621F3">
      <w:pPr>
        <w:numPr>
          <w:ilvl w:val="0"/>
          <w:numId w:val="14"/>
        </w:numPr>
        <w:tabs>
          <w:tab w:val="left" w:pos="0"/>
          <w:tab w:val="left" w:pos="567"/>
          <w:tab w:val="left" w:pos="1276"/>
        </w:tabs>
        <w:spacing w:after="0" w:line="240" w:lineRule="auto"/>
        <w:ind w:left="-142" w:firstLine="0"/>
        <w:jc w:val="both"/>
        <w:rPr>
          <w:rFonts w:ascii="Verdana" w:eastAsia="Times New Roman" w:hAnsi="Verdana"/>
          <w:sz w:val="20"/>
        </w:rPr>
      </w:pPr>
      <w:r>
        <w:rPr>
          <w:rFonts w:ascii="Verdana" w:hAnsi="Verdana"/>
          <w:sz w:val="20"/>
        </w:rPr>
        <w:t xml:space="preserve">Prior to the deadline for the submission of tenders, the CA can decide to explain the Procurement documents (or provide further detail) on its own initiative. The published information can provide further detail or correct the already published information and, in compliance with the criterion of rationality, extend the deadline for the submission of tenders. The extension of the deadline for the submission of tenders is announced by adjusting the notice of Procurement, announcing the new deadline on CVP IS, sending notifications to the Suppliers that have logged into the Procurement via </w:t>
      </w:r>
      <w:hyperlink r:id="rId28" w:history="1">
        <w:r>
          <w:rPr>
            <w:rStyle w:val="Hyperlink"/>
            <w:rFonts w:ascii="Verdana" w:hAnsi="Verdana"/>
            <w:sz w:val="20"/>
          </w:rPr>
          <w:t>https://pirkimai.eviesiejipirkimai.lt</w:t>
        </w:r>
      </w:hyperlink>
      <w:r>
        <w:rPr>
          <w:rFonts w:ascii="Verdana" w:hAnsi="Verdana"/>
          <w:sz w:val="20"/>
        </w:rPr>
        <w:t>.</w:t>
      </w:r>
    </w:p>
    <w:p w14:paraId="1FAD4422" w14:textId="77777777" w:rsidR="00C036EC" w:rsidRPr="0032182C" w:rsidRDefault="00C036EC" w:rsidP="00C621F3">
      <w:pPr>
        <w:numPr>
          <w:ilvl w:val="0"/>
          <w:numId w:val="14"/>
        </w:numPr>
        <w:tabs>
          <w:tab w:val="left"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When explaining or revising Procurement Documents, the CA must ensure the anonymity of the Suppliers, i.e. it must ensure that the Supplier does not learn the names and other details of other Suppliers participating in the Procurement procedures.</w:t>
      </w:r>
    </w:p>
    <w:p w14:paraId="5990253B" w14:textId="77777777" w:rsidR="00741634" w:rsidRPr="0032182C" w:rsidRDefault="00741634" w:rsidP="00C621F3">
      <w:pPr>
        <w:numPr>
          <w:ilvl w:val="0"/>
          <w:numId w:val="14"/>
        </w:numPr>
        <w:tabs>
          <w:tab w:val="left" w:pos="0"/>
          <w:tab w:val="left" w:pos="567"/>
          <w:tab w:val="left" w:pos="1276"/>
        </w:tabs>
        <w:spacing w:after="0" w:line="240" w:lineRule="auto"/>
        <w:ind w:left="-142" w:firstLine="0"/>
        <w:jc w:val="both"/>
        <w:rPr>
          <w:rFonts w:ascii="Verdana" w:eastAsia="Times New Roman" w:hAnsi="Verdana"/>
          <w:sz w:val="20"/>
        </w:rPr>
      </w:pPr>
      <w:r>
        <w:rPr>
          <w:rFonts w:ascii="Verdana" w:hAnsi="Verdana"/>
          <w:sz w:val="20"/>
        </w:rPr>
        <w:t>Any information, explanations of Procurement Conditions, notifications or other correspondence between the CA and the Supplier shall be conducted using CVP IS correspondence functionalities (Suppliers logged into the Procurement will receive notifications).</w:t>
      </w:r>
    </w:p>
    <w:p w14:paraId="6CD03F57" w14:textId="77777777" w:rsidR="00741634" w:rsidRPr="0032182C" w:rsidRDefault="00741634" w:rsidP="005B6D28">
      <w:pPr>
        <w:pStyle w:val="Heading1"/>
        <w:spacing w:before="240" w:after="120"/>
        <w:ind w:left="-142" w:firstLine="0"/>
        <w:rPr>
          <w:rFonts w:ascii="Verdana" w:hAnsi="Verdana"/>
          <w:b/>
          <w:sz w:val="20"/>
          <w:szCs w:val="20"/>
        </w:rPr>
      </w:pPr>
      <w:bookmarkStart w:id="14" w:name="_Toc70500208"/>
      <w:r>
        <w:rPr>
          <w:rFonts w:ascii="Verdana" w:hAnsi="Verdana"/>
          <w:b/>
          <w:sz w:val="20"/>
        </w:rPr>
        <w:t>PROCEDURES FOR ACCESSING TENDERS RECEIVED VIA CVP IS</w:t>
      </w:r>
      <w:bookmarkEnd w:id="14"/>
    </w:p>
    <w:p w14:paraId="0E0C971A" w14:textId="77777777" w:rsidR="00741634" w:rsidRPr="0032182C" w:rsidRDefault="00741634" w:rsidP="00C621F3">
      <w:pPr>
        <w:numPr>
          <w:ilvl w:val="0"/>
          <w:numId w:val="11"/>
        </w:numPr>
        <w:tabs>
          <w:tab w:val="center" w:pos="567"/>
          <w:tab w:val="left" w:pos="1276"/>
          <w:tab w:val="left" w:pos="2127"/>
        </w:tabs>
        <w:autoSpaceDE w:val="0"/>
        <w:autoSpaceDN w:val="0"/>
        <w:adjustRightInd w:val="0"/>
        <w:spacing w:after="0" w:line="240" w:lineRule="auto"/>
        <w:ind w:left="-142" w:firstLine="0"/>
        <w:jc w:val="both"/>
        <w:rPr>
          <w:rFonts w:ascii="Verdana" w:eastAsia="Times New Roman" w:hAnsi="Verdana"/>
          <w:sz w:val="20"/>
        </w:rPr>
      </w:pPr>
      <w:r>
        <w:rPr>
          <w:rFonts w:ascii="Verdana" w:hAnsi="Verdana"/>
          <w:sz w:val="20"/>
        </w:rPr>
        <w:t xml:space="preserve">The meeting of the Committee for the initial examination of tenders submitted via CVP IS (the e-envelope opening procedure) will take place at the date and time indicated in point 2.4 of the procurement conditions at the headquarters of Lietuvos </w:t>
      </w:r>
      <w:proofErr w:type="spellStart"/>
      <w:r>
        <w:rPr>
          <w:rFonts w:ascii="Verdana" w:hAnsi="Verdana"/>
          <w:sz w:val="20"/>
        </w:rPr>
        <w:t>bankas</w:t>
      </w:r>
      <w:proofErr w:type="spellEnd"/>
      <w:r>
        <w:rPr>
          <w:rFonts w:ascii="Verdana" w:hAnsi="Verdana"/>
          <w:sz w:val="20"/>
        </w:rPr>
        <w:t xml:space="preserve"> (Totorių g. 4, Vilnius).</w:t>
      </w:r>
    </w:p>
    <w:p w14:paraId="3F249D67" w14:textId="77777777" w:rsidR="00741634" w:rsidRPr="0032182C" w:rsidRDefault="002974D1" w:rsidP="00C621F3">
      <w:pPr>
        <w:numPr>
          <w:ilvl w:val="0"/>
          <w:numId w:val="11"/>
        </w:numPr>
        <w:tabs>
          <w:tab w:val="center" w:pos="567"/>
          <w:tab w:val="left" w:pos="1276"/>
          <w:tab w:val="left" w:pos="2127"/>
        </w:tabs>
        <w:spacing w:after="0" w:line="240" w:lineRule="auto"/>
        <w:ind w:left="-142" w:firstLine="0"/>
        <w:jc w:val="both"/>
        <w:rPr>
          <w:rFonts w:ascii="Verdana" w:hAnsi="Verdana"/>
          <w:sz w:val="20"/>
        </w:rPr>
      </w:pPr>
      <w:r>
        <w:rPr>
          <w:rFonts w:ascii="Verdana" w:hAnsi="Verdana"/>
          <w:sz w:val="20"/>
          <w:u w:val="single"/>
        </w:rPr>
        <w:t>Suppliers shall not participate</w:t>
      </w:r>
      <w:r>
        <w:rPr>
          <w:rFonts w:ascii="Verdana" w:hAnsi="Verdana"/>
          <w:sz w:val="20"/>
        </w:rPr>
        <w:t xml:space="preserve"> in the Committee meeting for the initial examination of tenders and </w:t>
      </w:r>
      <w:r>
        <w:rPr>
          <w:rFonts w:ascii="Verdana" w:hAnsi="Verdana"/>
          <w:sz w:val="20"/>
          <w:u w:val="single"/>
        </w:rPr>
        <w:t>the CA will not provide Suppliers with information</w:t>
      </w:r>
      <w:r>
        <w:rPr>
          <w:rFonts w:ascii="Verdana" w:hAnsi="Verdana"/>
          <w:sz w:val="20"/>
        </w:rPr>
        <w:t xml:space="preserve"> on the Suppliers who have submitted tenders or proposed prices.</w:t>
      </w:r>
    </w:p>
    <w:p w14:paraId="664AC347" w14:textId="77777777" w:rsidR="005A5E91" w:rsidRPr="0032182C" w:rsidRDefault="005A5E91" w:rsidP="00C621F3">
      <w:pPr>
        <w:numPr>
          <w:ilvl w:val="0"/>
          <w:numId w:val="11"/>
        </w:numPr>
        <w:tabs>
          <w:tab w:val="center" w:pos="567"/>
          <w:tab w:val="left" w:pos="1276"/>
          <w:tab w:val="left" w:pos="2127"/>
        </w:tabs>
        <w:spacing w:after="0" w:line="240" w:lineRule="auto"/>
        <w:ind w:left="-142" w:firstLine="0"/>
        <w:jc w:val="both"/>
        <w:rPr>
          <w:rFonts w:ascii="Verdana" w:hAnsi="Verdana"/>
          <w:sz w:val="20"/>
        </w:rPr>
      </w:pPr>
      <w:r>
        <w:rPr>
          <w:rFonts w:ascii="Verdana" w:hAnsi="Verdana"/>
          <w:sz w:val="20"/>
        </w:rPr>
        <w:t>Suppliers shall not participate in Committee meetings for the examination, evaluation and comparison of the submitted applications or Tenders.</w:t>
      </w:r>
    </w:p>
    <w:p w14:paraId="690AB758" w14:textId="77777777" w:rsidR="005A5E91" w:rsidRPr="0032182C" w:rsidRDefault="005A5E91" w:rsidP="00C621F3">
      <w:pPr>
        <w:numPr>
          <w:ilvl w:val="0"/>
          <w:numId w:val="11"/>
        </w:numPr>
        <w:tabs>
          <w:tab w:val="center" w:pos="567"/>
          <w:tab w:val="left" w:pos="1276"/>
          <w:tab w:val="left" w:pos="2127"/>
        </w:tabs>
        <w:spacing w:after="0" w:line="240" w:lineRule="auto"/>
        <w:ind w:left="-142" w:firstLine="0"/>
        <w:jc w:val="both"/>
        <w:rPr>
          <w:rFonts w:ascii="Verdana" w:hAnsi="Verdana"/>
          <w:sz w:val="20"/>
        </w:rPr>
      </w:pPr>
      <w:r>
        <w:rPr>
          <w:rFonts w:ascii="Verdana" w:hAnsi="Verdana"/>
          <w:sz w:val="20"/>
        </w:rPr>
        <w:t>The CA shall not invite representatives of state or municipal institutions or organisations to participate in Committee meetings as observers.</w:t>
      </w:r>
    </w:p>
    <w:p w14:paraId="789529E3" w14:textId="77777777" w:rsidR="002406CE" w:rsidRPr="0032182C" w:rsidRDefault="002406CE" w:rsidP="005B6D28">
      <w:pPr>
        <w:pStyle w:val="Heading1"/>
        <w:spacing w:before="240" w:after="120"/>
        <w:ind w:left="-142" w:firstLine="0"/>
        <w:rPr>
          <w:rFonts w:ascii="Verdana" w:hAnsi="Verdana"/>
          <w:b/>
          <w:sz w:val="20"/>
          <w:szCs w:val="20"/>
        </w:rPr>
      </w:pPr>
      <w:bookmarkStart w:id="15" w:name="_Toc70500209"/>
      <w:r>
        <w:rPr>
          <w:rFonts w:ascii="Verdana" w:hAnsi="Verdana"/>
          <w:b/>
          <w:sz w:val="20"/>
        </w:rPr>
        <w:t>EXCLUSION OF SUPPLIERS FROM THE PROCUREMENT PROCEDURE</w:t>
      </w:r>
      <w:bookmarkEnd w:id="15"/>
    </w:p>
    <w:p w14:paraId="7257CB07" w14:textId="78966600" w:rsidR="002406CE" w:rsidRPr="0032182C" w:rsidRDefault="002406CE" w:rsidP="00C621F3">
      <w:pPr>
        <w:numPr>
          <w:ilvl w:val="0"/>
          <w:numId w:val="18"/>
        </w:numPr>
        <w:tabs>
          <w:tab w:val="center"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Following its own examination or having found in any other manner, the CA shall exclude a Supplier from the Procurement procedure if it identifies at least one of the grounds for exclusion indicated in paragraph 5.9 of Procurement Conditions.</w:t>
      </w:r>
    </w:p>
    <w:p w14:paraId="1B900829" w14:textId="77777777" w:rsidR="002406CE" w:rsidRPr="0032182C" w:rsidRDefault="002406CE" w:rsidP="00C621F3">
      <w:pPr>
        <w:numPr>
          <w:ilvl w:val="0"/>
          <w:numId w:val="18"/>
        </w:numPr>
        <w:tabs>
          <w:tab w:val="center" w:pos="567"/>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The CA shall not exclude a Supplier that does not meet certain requirements from the Procurement procedure if the Supplier meets the requirements stipulated in Articles 46(3) and (8) of the LPP.</w:t>
      </w:r>
    </w:p>
    <w:p w14:paraId="64A0FE6D" w14:textId="77777777" w:rsidR="00741634" w:rsidRPr="0032182C" w:rsidRDefault="00741634" w:rsidP="005B6D28">
      <w:pPr>
        <w:pStyle w:val="Heading1"/>
        <w:spacing w:before="240" w:after="120"/>
        <w:ind w:left="-142" w:firstLine="0"/>
        <w:rPr>
          <w:rFonts w:ascii="Verdana" w:hAnsi="Verdana"/>
          <w:b/>
          <w:sz w:val="20"/>
          <w:szCs w:val="20"/>
        </w:rPr>
      </w:pPr>
      <w:bookmarkStart w:id="16" w:name="_Toc70500210"/>
      <w:r>
        <w:rPr>
          <w:rFonts w:ascii="Verdana" w:hAnsi="Verdana"/>
          <w:b/>
          <w:sz w:val="20"/>
        </w:rPr>
        <w:t>ASSESSMENT OF TENDERS AND GROUNDS FOR EXCLUSION</w:t>
      </w:r>
      <w:bookmarkEnd w:id="16"/>
    </w:p>
    <w:p w14:paraId="635BC76D" w14:textId="77777777" w:rsidR="0091781D" w:rsidRPr="0032182C" w:rsidRDefault="002F36CD" w:rsidP="00C621F3">
      <w:pPr>
        <w:numPr>
          <w:ilvl w:val="0"/>
          <w:numId w:val="12"/>
        </w:numPr>
        <w:tabs>
          <w:tab w:val="left" w:pos="567"/>
        </w:tabs>
        <w:spacing w:after="0" w:line="240" w:lineRule="auto"/>
        <w:ind w:left="-142" w:firstLine="0"/>
        <w:jc w:val="both"/>
        <w:rPr>
          <w:rFonts w:ascii="Verdana" w:hAnsi="Verdana"/>
          <w:vanish/>
          <w:sz w:val="20"/>
          <w:specVanish/>
        </w:rPr>
      </w:pPr>
      <w:r>
        <w:rPr>
          <w:rFonts w:ascii="Verdana" w:hAnsi="Verdana"/>
          <w:sz w:val="20"/>
        </w:rPr>
        <w:t xml:space="preserve">First, the CA will examine ESPDs, the Tender and other tender-related documents provided by the Suppliers. The CA shall only demand the provision of documents proving the Supplier’s </w:t>
      </w:r>
      <w:r>
        <w:rPr>
          <w:rFonts w:ascii="Verdana" w:hAnsi="Verdana"/>
          <w:sz w:val="20"/>
        </w:rPr>
        <w:lastRenderedPageBreak/>
        <w:t xml:space="preserve">qualification (if needed) and the absence of grounds for exclusion from the Supplier whose Tender can potentially be the successful Tender </w:t>
      </w:r>
    </w:p>
    <w:p w14:paraId="32549F8A" w14:textId="77777777" w:rsidR="00B9589C" w:rsidRPr="0032182C" w:rsidRDefault="00B9589C" w:rsidP="00C621F3">
      <w:pPr>
        <w:numPr>
          <w:ilvl w:val="0"/>
          <w:numId w:val="12"/>
        </w:numPr>
        <w:tabs>
          <w:tab w:val="left" w:pos="567"/>
        </w:tabs>
        <w:spacing w:after="0" w:line="240" w:lineRule="auto"/>
        <w:ind w:left="-142" w:firstLine="0"/>
        <w:jc w:val="both"/>
        <w:rPr>
          <w:rFonts w:ascii="Verdana" w:hAnsi="Verdana"/>
          <w:vanish/>
          <w:sz w:val="20"/>
          <w:specVanish/>
        </w:rPr>
      </w:pPr>
      <w:r>
        <w:rPr>
          <w:rFonts w:ascii="Verdana" w:hAnsi="Verdana"/>
          <w:sz w:val="20"/>
        </w:rPr>
        <w:t>based on the results of the evaluation (prior to tender ranking). If the Supplier submits documents proving their qualification (if needed) and the absence of grounds for their exclusion along with their Tender, the CA shall not assess these documents unless the said Supplier is deemed to have submitted a potentially successful Tender based on the results of the Tender evaluation. The documents submitted can only be assessed after the Tender has been evaluated and identified as potentially successful.</w:t>
      </w:r>
    </w:p>
    <w:p w14:paraId="1CA74F5B" w14:textId="77777777" w:rsidR="00FA5D5F" w:rsidRPr="0032182C" w:rsidRDefault="00FA5D5F" w:rsidP="00C621F3">
      <w:pPr>
        <w:numPr>
          <w:ilvl w:val="0"/>
          <w:numId w:val="12"/>
        </w:numPr>
        <w:tabs>
          <w:tab w:val="left" w:pos="0"/>
          <w:tab w:val="left" w:pos="567"/>
        </w:tabs>
        <w:spacing w:after="0" w:line="240" w:lineRule="auto"/>
        <w:ind w:left="-142" w:firstLine="0"/>
        <w:jc w:val="both"/>
        <w:rPr>
          <w:rFonts w:ascii="Verdana" w:hAnsi="Verdana"/>
          <w:sz w:val="20"/>
        </w:rPr>
      </w:pPr>
    </w:p>
    <w:p w14:paraId="439939B8" w14:textId="77777777" w:rsidR="002F36CD" w:rsidRPr="0032182C" w:rsidRDefault="00146A7E" w:rsidP="00C621F3">
      <w:pPr>
        <w:numPr>
          <w:ilvl w:val="0"/>
          <w:numId w:val="36"/>
        </w:numPr>
        <w:tabs>
          <w:tab w:val="left" w:pos="-142"/>
          <w:tab w:val="left" w:pos="567"/>
        </w:tabs>
        <w:spacing w:after="0" w:line="240" w:lineRule="auto"/>
        <w:ind w:left="-142" w:firstLine="0"/>
        <w:jc w:val="both"/>
        <w:rPr>
          <w:rFonts w:ascii="Verdana" w:hAnsi="Verdana"/>
          <w:sz w:val="20"/>
        </w:rPr>
      </w:pPr>
      <w:r>
        <w:rPr>
          <w:rFonts w:ascii="Verdana" w:hAnsi="Verdana"/>
          <w:sz w:val="20"/>
        </w:rPr>
        <w:t>If the Supplier fails to submit the documents or data on the compliance with the requirements of the Procurement Documents along with their Tender or submits inaccurate, incomplete and incorrect Procurement Documents, the CA shall send the Supplier a written request via CVP IS to clarify or submit these documents by the deadline indicated, which shall be no shorter than 3 working days from the day the CA sent the request.</w:t>
      </w:r>
    </w:p>
    <w:p w14:paraId="1837F46D" w14:textId="77777777" w:rsidR="002F36CD" w:rsidRPr="0032182C" w:rsidRDefault="002F36CD" w:rsidP="00C621F3">
      <w:pPr>
        <w:numPr>
          <w:ilvl w:val="0"/>
          <w:numId w:val="36"/>
        </w:numPr>
        <w:tabs>
          <w:tab w:val="left" w:pos="-142"/>
          <w:tab w:val="left" w:pos="567"/>
        </w:tabs>
        <w:spacing w:after="0" w:line="240" w:lineRule="auto"/>
        <w:ind w:left="-142" w:firstLine="0"/>
        <w:jc w:val="both"/>
        <w:rPr>
          <w:rFonts w:ascii="Verdana" w:hAnsi="Verdana"/>
          <w:sz w:val="20"/>
        </w:rPr>
      </w:pPr>
      <w:r>
        <w:rPr>
          <w:rFonts w:ascii="Verdana" w:hAnsi="Verdana"/>
          <w:sz w:val="20"/>
        </w:rPr>
        <w:t>If questions arise regarding the content of a Tender and the CA requests an explanation, the Supplier shall provide the requested explanations via CVP IS by the deadline indicated without altering their Tender in any essential way, i.e. the Supplier cannot alter the price or make any other changes that would turn their otherwise unqualified Tender into a Tender that meets the requirements established in the Procurement Documents.</w:t>
      </w:r>
    </w:p>
    <w:p w14:paraId="0FF96AD5" w14:textId="77777777" w:rsidR="002F36CD" w:rsidRPr="0032182C" w:rsidRDefault="002F36CD" w:rsidP="00C621F3">
      <w:pPr>
        <w:numPr>
          <w:ilvl w:val="0"/>
          <w:numId w:val="36"/>
        </w:numPr>
        <w:tabs>
          <w:tab w:val="left" w:pos="-142"/>
          <w:tab w:val="left" w:pos="567"/>
        </w:tabs>
        <w:spacing w:after="0" w:line="240" w:lineRule="auto"/>
        <w:ind w:left="-142" w:firstLine="0"/>
        <w:jc w:val="both"/>
        <w:rPr>
          <w:rFonts w:ascii="Verdana" w:hAnsi="Verdana"/>
          <w:sz w:val="20"/>
        </w:rPr>
      </w:pPr>
      <w:r>
        <w:rPr>
          <w:rFonts w:ascii="Verdana" w:hAnsi="Verdana"/>
          <w:sz w:val="20"/>
        </w:rPr>
        <w:t xml:space="preserve">If the CA notices errors of calculation in the price of the Tender during the evaluation phase, it shall send the Supplier a request via CVP IS to correct the arithmetical errors by the indicated deadline, without affecting the price announced at the tender opening session. Correcting such arithmetic errors in the Tender, the Supplier shall have no right to remove or add new price components. If the Supplier fails to correct the arithmetical errors identified and/or to provide the explanations requested by the deadline indicated, their Tender is deemed to be non-compliant with the requirements of the Procurement Documents. </w:t>
      </w:r>
    </w:p>
    <w:p w14:paraId="05407D1B"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Pr>
          <w:rFonts w:ascii="Verdana" w:hAnsi="Verdana"/>
          <w:sz w:val="20"/>
        </w:rPr>
        <w:t xml:space="preserve">If the price proposed in the Tender is abnormally low, the CA must send the Supplier a request via CVP IS to explain in writing the grounds for this abnormally low price, including a detailed justification of the price components, within the period specified by the CA. In assessing whether the price proposed in a Supplier’s Tender is abnormally low, the CA shall be guided by Article 57 of the </w:t>
      </w:r>
      <w:proofErr w:type="gramStart"/>
      <w:r>
        <w:rPr>
          <w:rFonts w:ascii="Verdana" w:hAnsi="Verdana"/>
          <w:sz w:val="20"/>
        </w:rPr>
        <w:t>LPP.</w:t>
      </w:r>
      <w:r>
        <w:rPr>
          <w:rFonts w:ascii="Verdana" w:hAnsi="Verdana"/>
          <w:i/>
          <w:sz w:val="20"/>
        </w:rPr>
        <w:t>.</w:t>
      </w:r>
      <w:proofErr w:type="gramEnd"/>
      <w:r>
        <w:rPr>
          <w:rFonts w:ascii="Verdana" w:hAnsi="Verdana"/>
          <w:i/>
          <w:sz w:val="20"/>
        </w:rPr>
        <w:t xml:space="preserve"> </w:t>
      </w:r>
      <w:r>
        <w:rPr>
          <w:rFonts w:ascii="Verdana" w:hAnsi="Verdana"/>
          <w:sz w:val="20"/>
        </w:rPr>
        <w:t xml:space="preserve">If the Supplier fails to justify the abnormally low price, the Tender is rejected. </w:t>
      </w:r>
    </w:p>
    <w:p w14:paraId="744A4D87"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Pr>
          <w:rFonts w:ascii="Verdana" w:hAnsi="Verdana"/>
          <w:sz w:val="20"/>
        </w:rPr>
        <w:t xml:space="preserve">If the Supplier provides inaccurate or incomplete data about their qualification (if needed) or the absence of grounds for exclusion, the CA shall, without violating the principles of public procurement, send the Supplier a request via CVP IS to provide additional information or an explanation by the deadline indicated. </w:t>
      </w:r>
    </w:p>
    <w:p w14:paraId="2CC17E13"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Pr>
          <w:rFonts w:ascii="Verdana" w:hAnsi="Verdana"/>
          <w:sz w:val="20"/>
        </w:rPr>
        <w:t>Revised information regarding qualification (if needed), explanations of the tender content, corrections of arithmetical errors identified in the Tender and documents justifying abnormally low prices shall only be sent via CVP IS.</w:t>
      </w:r>
    </w:p>
    <w:p w14:paraId="04A697A5" w14:textId="77777777" w:rsidR="00627F04" w:rsidRPr="0032182C" w:rsidRDefault="00644E64" w:rsidP="00C621F3">
      <w:pPr>
        <w:numPr>
          <w:ilvl w:val="1"/>
          <w:numId w:val="20"/>
        </w:numPr>
        <w:tabs>
          <w:tab w:val="left" w:pos="567"/>
          <w:tab w:val="left" w:pos="709"/>
        </w:tabs>
        <w:spacing w:after="0" w:line="240" w:lineRule="auto"/>
        <w:ind w:left="-142" w:firstLine="0"/>
        <w:jc w:val="both"/>
        <w:rPr>
          <w:rFonts w:ascii="Verdana" w:hAnsi="Verdana"/>
          <w:sz w:val="20"/>
        </w:rPr>
      </w:pPr>
      <w:r>
        <w:rPr>
          <w:rFonts w:ascii="Verdana" w:hAnsi="Verdana"/>
          <w:sz w:val="20"/>
        </w:rPr>
        <w:t>The CA shall reject a Supplier’s Tender if:</w:t>
      </w:r>
    </w:p>
    <w:p w14:paraId="506352E2" w14:textId="77777777" w:rsidR="00820678" w:rsidRPr="0032182C" w:rsidRDefault="00644E64" w:rsidP="008A42EC">
      <w:pPr>
        <w:tabs>
          <w:tab w:val="left" w:pos="567"/>
          <w:tab w:val="left" w:pos="709"/>
        </w:tabs>
        <w:suppressAutoHyphens/>
        <w:spacing w:after="0" w:line="240" w:lineRule="auto"/>
        <w:ind w:left="-142"/>
        <w:jc w:val="both"/>
        <w:rPr>
          <w:rFonts w:ascii="Verdana" w:hAnsi="Verdana"/>
          <w:sz w:val="20"/>
        </w:rPr>
      </w:pPr>
      <w:r>
        <w:rPr>
          <w:rFonts w:ascii="Verdana" w:hAnsi="Verdana"/>
          <w:b/>
          <w:bCs/>
          <w:sz w:val="20"/>
        </w:rPr>
        <w:t>13.8.1.</w:t>
      </w:r>
      <w:r>
        <w:rPr>
          <w:rFonts w:ascii="Verdana" w:hAnsi="Verdana"/>
          <w:sz w:val="20"/>
        </w:rPr>
        <w:t xml:space="preserve"> the Tender does not meet the requirements, conditions or criteria laid down in the Procurement Conditions, or if upon the CA’s request, the Supplier fails to explain their tender, provide additional, more precise information about their tender and/or correct mathematical errors found in their Tender within the period of time indicated by the CA;</w:t>
      </w:r>
    </w:p>
    <w:p w14:paraId="46BA4B2A" w14:textId="1BE6A7D1" w:rsidR="005A5E91" w:rsidRPr="0032182C" w:rsidRDefault="005A5E91" w:rsidP="00C621F3">
      <w:pPr>
        <w:numPr>
          <w:ilvl w:val="2"/>
          <w:numId w:val="21"/>
        </w:numPr>
        <w:tabs>
          <w:tab w:val="left" w:pos="0"/>
          <w:tab w:val="left" w:pos="567"/>
          <w:tab w:val="left" w:pos="709"/>
        </w:tabs>
        <w:suppressAutoHyphens/>
        <w:spacing w:after="0" w:line="240" w:lineRule="auto"/>
        <w:ind w:left="-142" w:firstLine="0"/>
        <w:jc w:val="both"/>
        <w:rPr>
          <w:rFonts w:ascii="Verdana" w:hAnsi="Verdana"/>
          <w:sz w:val="20"/>
        </w:rPr>
      </w:pPr>
      <w:r>
        <w:rPr>
          <w:rFonts w:ascii="Verdana" w:hAnsi="Verdana"/>
          <w:sz w:val="20"/>
        </w:rPr>
        <w:t>the Supplier must be excluded in accordance with the provisions of Chapter XII of these Procurement Conditions or if, at the request of the CA, the Supplier has not corrected the inaccurate or incomplete information about the absence of grounds for exclusion within the time limit specified by the CA;</w:t>
      </w:r>
    </w:p>
    <w:p w14:paraId="431CEB17" w14:textId="77777777" w:rsidR="00627F04" w:rsidRPr="0032182C" w:rsidRDefault="00F51DD1" w:rsidP="00C621F3">
      <w:pPr>
        <w:numPr>
          <w:ilvl w:val="2"/>
          <w:numId w:val="22"/>
        </w:numPr>
        <w:tabs>
          <w:tab w:val="left" w:pos="0"/>
          <w:tab w:val="left" w:pos="567"/>
          <w:tab w:val="left" w:pos="709"/>
        </w:tabs>
        <w:suppressAutoHyphens/>
        <w:spacing w:after="0" w:line="240" w:lineRule="auto"/>
        <w:ind w:left="-142" w:firstLine="0"/>
        <w:jc w:val="both"/>
        <w:rPr>
          <w:rFonts w:ascii="Verdana" w:hAnsi="Verdana"/>
          <w:sz w:val="20"/>
        </w:rPr>
      </w:pPr>
      <w:r>
        <w:rPr>
          <w:rFonts w:ascii="Verdana" w:hAnsi="Verdana"/>
          <w:sz w:val="20"/>
        </w:rPr>
        <w:t>the Supplier does not meet the qualification and other requirements set out in the Procurement Documents or fails to provide more precise or complete information about their qualification (if needed) when requested within the deadline set by the CA;</w:t>
      </w:r>
    </w:p>
    <w:p w14:paraId="6CADF176" w14:textId="77777777" w:rsidR="007B1F23" w:rsidRPr="0032182C" w:rsidRDefault="00341A15" w:rsidP="00C621F3">
      <w:pPr>
        <w:numPr>
          <w:ilvl w:val="2"/>
          <w:numId w:val="23"/>
        </w:numPr>
        <w:tabs>
          <w:tab w:val="left" w:pos="0"/>
          <w:tab w:val="left" w:pos="567"/>
          <w:tab w:val="left" w:pos="709"/>
        </w:tabs>
        <w:suppressAutoHyphens/>
        <w:spacing w:after="0" w:line="240" w:lineRule="auto"/>
        <w:ind w:left="-142" w:firstLine="0"/>
        <w:jc w:val="both"/>
        <w:rPr>
          <w:rFonts w:ascii="Verdana" w:hAnsi="Verdana"/>
          <w:sz w:val="20"/>
        </w:rPr>
      </w:pPr>
      <w:r>
        <w:rPr>
          <w:rFonts w:ascii="Verdana" w:hAnsi="Verdana"/>
          <w:sz w:val="20"/>
        </w:rPr>
        <w:t>the Supplier fails, at the request of the CA, to substantiate the price or costs of the Procurement Object or parts thereof indicated in the Tender within the time limit specified by the CA, if these seem abnormally low;</w:t>
      </w:r>
    </w:p>
    <w:p w14:paraId="65215C69" w14:textId="77777777" w:rsidR="00142368" w:rsidRPr="0032182C" w:rsidRDefault="00142368" w:rsidP="00C621F3">
      <w:pPr>
        <w:numPr>
          <w:ilvl w:val="2"/>
          <w:numId w:val="23"/>
        </w:numPr>
        <w:tabs>
          <w:tab w:val="left" w:pos="0"/>
          <w:tab w:val="left" w:pos="567"/>
          <w:tab w:val="left" w:pos="709"/>
        </w:tabs>
        <w:suppressAutoHyphens/>
        <w:spacing w:after="0" w:line="240" w:lineRule="auto"/>
        <w:ind w:left="-142" w:firstLine="0"/>
        <w:jc w:val="both"/>
        <w:rPr>
          <w:rFonts w:ascii="Verdana" w:hAnsi="Verdana"/>
          <w:sz w:val="20"/>
        </w:rPr>
      </w:pPr>
      <w:proofErr w:type="spellStart"/>
      <w:r>
        <w:rPr>
          <w:rFonts w:ascii="Verdana" w:hAnsi="Verdana"/>
          <w:sz w:val="20"/>
        </w:rPr>
        <w:t>the</w:t>
      </w:r>
      <w:proofErr w:type="spellEnd"/>
      <w:r>
        <w:rPr>
          <w:rFonts w:ascii="Verdana" w:hAnsi="Verdana"/>
          <w:sz w:val="20"/>
        </w:rPr>
        <w:t xml:space="preserve"> offered price exceeds the amount of funds allocated to the Procurement by the CA prior initiating the Procurement procedure and therefore is unacceptable.</w:t>
      </w:r>
    </w:p>
    <w:p w14:paraId="6F1EDD26" w14:textId="77777777" w:rsidR="00065C74" w:rsidRPr="0032182C" w:rsidRDefault="00A75956" w:rsidP="008A42EC">
      <w:pPr>
        <w:tabs>
          <w:tab w:val="left" w:pos="567"/>
          <w:tab w:val="left" w:pos="709"/>
        </w:tabs>
        <w:spacing w:after="0" w:line="240" w:lineRule="auto"/>
        <w:ind w:left="-142"/>
        <w:jc w:val="both"/>
        <w:rPr>
          <w:rFonts w:ascii="Verdana" w:hAnsi="Verdana"/>
          <w:sz w:val="20"/>
        </w:rPr>
      </w:pPr>
      <w:r>
        <w:rPr>
          <w:rFonts w:ascii="Verdana" w:hAnsi="Verdana"/>
          <w:b/>
          <w:sz w:val="20"/>
        </w:rPr>
        <w:t>13.9</w:t>
      </w:r>
      <w:r>
        <w:rPr>
          <w:rFonts w:ascii="Verdana" w:hAnsi="Verdana"/>
          <w:sz w:val="20"/>
        </w:rPr>
        <w:t xml:space="preserve"> Before determining the successful Tender, the CA shall demand that the Supplier whose Tender was the most economically advantageous provide the relevant documents to prove the absence of grounds for their exclusion and their compliance with the qualification requirements of Article 51 of the LPP.</w:t>
      </w:r>
    </w:p>
    <w:p w14:paraId="0E64FF06" w14:textId="77777777" w:rsidR="007D2116" w:rsidRPr="0032182C" w:rsidRDefault="007D2116" w:rsidP="00C621F3">
      <w:pPr>
        <w:numPr>
          <w:ilvl w:val="1"/>
          <w:numId w:val="32"/>
        </w:numPr>
        <w:tabs>
          <w:tab w:val="left" w:pos="0"/>
          <w:tab w:val="left" w:pos="709"/>
        </w:tabs>
        <w:spacing w:after="0" w:line="240" w:lineRule="auto"/>
        <w:ind w:left="-142" w:firstLine="0"/>
        <w:jc w:val="both"/>
        <w:rPr>
          <w:rFonts w:ascii="Verdana" w:hAnsi="Verdana"/>
          <w:sz w:val="20"/>
        </w:rPr>
      </w:pPr>
      <w:r>
        <w:rPr>
          <w:rFonts w:ascii="Verdana" w:hAnsi="Verdana"/>
          <w:sz w:val="20"/>
        </w:rPr>
        <w:t xml:space="preserve">The CA shall not ask the Supplier to submit documents or information proving their compliance with requirements if: </w:t>
      </w:r>
    </w:p>
    <w:p w14:paraId="75214809" w14:textId="77777777" w:rsidR="00C61C86" w:rsidRPr="0032182C" w:rsidRDefault="007D2116" w:rsidP="00C621F3">
      <w:pPr>
        <w:numPr>
          <w:ilvl w:val="0"/>
          <w:numId w:val="33"/>
        </w:numPr>
        <w:tabs>
          <w:tab w:val="left" w:pos="0"/>
          <w:tab w:val="left" w:pos="567"/>
        </w:tabs>
        <w:spacing w:after="0" w:line="240" w:lineRule="auto"/>
        <w:ind w:left="-142" w:firstLine="0"/>
        <w:jc w:val="both"/>
        <w:rPr>
          <w:rFonts w:ascii="Verdana" w:hAnsi="Verdana"/>
          <w:sz w:val="20"/>
        </w:rPr>
      </w:pPr>
      <w:r>
        <w:rPr>
          <w:rFonts w:ascii="Verdana" w:hAnsi="Verdana"/>
          <w:sz w:val="20"/>
        </w:rPr>
        <w:lastRenderedPageBreak/>
        <w:t>it has the access to these documents or information directly and free of charge by logging into the national data base in any EU Member State or using CVP IS; Freely accessible information is checked by the CA along with the documents submitted based on the ESPD, and only with regard to the potentially successful Tender. If the CA cannot check freely accessible data about the Supplier due to a technical interruption of information systems, it shall have the right to request that the Supplier provide a document issued according to the established procedure confirming their compliance with requirements.</w:t>
      </w:r>
    </w:p>
    <w:p w14:paraId="07E95EA4" w14:textId="77777777" w:rsidR="007D2116" w:rsidRPr="0032182C" w:rsidRDefault="007D2116" w:rsidP="00C621F3">
      <w:pPr>
        <w:numPr>
          <w:ilvl w:val="2"/>
          <w:numId w:val="24"/>
        </w:numPr>
        <w:tabs>
          <w:tab w:val="left" w:pos="0"/>
          <w:tab w:val="left" w:pos="567"/>
        </w:tabs>
        <w:spacing w:after="0" w:line="240" w:lineRule="auto"/>
        <w:ind w:left="-142" w:firstLine="0"/>
        <w:jc w:val="both"/>
        <w:rPr>
          <w:rFonts w:ascii="Verdana" w:hAnsi="Verdana"/>
          <w:sz w:val="20"/>
        </w:rPr>
      </w:pPr>
      <w:r>
        <w:rPr>
          <w:rFonts w:ascii="Verdana" w:hAnsi="Verdana"/>
          <w:sz w:val="20"/>
        </w:rPr>
        <w:t>the CA already has these documents from previous procedures (e.g. if the Supplier submitted the documents along with the Tender or during a previous Procurement).</w:t>
      </w:r>
    </w:p>
    <w:p w14:paraId="0A5EC629" w14:textId="77777777" w:rsidR="00A93A21" w:rsidRPr="0032182C" w:rsidRDefault="00A93A21" w:rsidP="00C621F3">
      <w:pPr>
        <w:numPr>
          <w:ilvl w:val="1"/>
          <w:numId w:val="34"/>
        </w:numPr>
        <w:tabs>
          <w:tab w:val="left" w:pos="0"/>
          <w:tab w:val="left" w:pos="709"/>
        </w:tabs>
        <w:suppressAutoHyphens/>
        <w:spacing w:after="0" w:line="240" w:lineRule="auto"/>
        <w:ind w:left="-142" w:firstLine="0"/>
        <w:jc w:val="both"/>
        <w:rPr>
          <w:rFonts w:ascii="Verdana" w:hAnsi="Verdana"/>
          <w:sz w:val="20"/>
        </w:rPr>
      </w:pPr>
      <w:r>
        <w:rPr>
          <w:rFonts w:ascii="Verdana" w:hAnsi="Verdana"/>
          <w:sz w:val="20"/>
        </w:rPr>
        <w:t>The CA does not need to evaluate the full Tender of the Supplier, if an examination of part of the Tender reveals that the Tender should be rejected based on the Procurement Conditions and the requirements of the LPP.</w:t>
      </w:r>
    </w:p>
    <w:p w14:paraId="032A24F6" w14:textId="77777777" w:rsidR="00741634" w:rsidRPr="0032182C" w:rsidRDefault="00741634" w:rsidP="005B6D28">
      <w:pPr>
        <w:pStyle w:val="Heading1"/>
        <w:spacing w:before="240" w:after="120"/>
        <w:ind w:left="-142" w:firstLine="0"/>
        <w:rPr>
          <w:rFonts w:ascii="Verdana" w:hAnsi="Verdana"/>
          <w:b/>
          <w:sz w:val="20"/>
          <w:szCs w:val="20"/>
        </w:rPr>
      </w:pPr>
      <w:bookmarkStart w:id="17" w:name="_Toc70500211"/>
      <w:r>
        <w:rPr>
          <w:rFonts w:ascii="Verdana" w:hAnsi="Verdana"/>
          <w:b/>
          <w:sz w:val="20"/>
        </w:rPr>
        <w:t>EVALUATION OF TENDERS</w:t>
      </w:r>
      <w:bookmarkEnd w:id="17"/>
    </w:p>
    <w:p w14:paraId="422D7EBF" w14:textId="404D6470" w:rsidR="00A75956" w:rsidRPr="0032182C" w:rsidRDefault="00A75956" w:rsidP="00C621F3">
      <w:pPr>
        <w:pStyle w:val="BodyText"/>
        <w:numPr>
          <w:ilvl w:val="1"/>
          <w:numId w:val="25"/>
        </w:numPr>
        <w:tabs>
          <w:tab w:val="left" w:pos="-142"/>
          <w:tab w:val="left" w:pos="0"/>
          <w:tab w:val="left" w:pos="142"/>
          <w:tab w:val="left" w:pos="709"/>
        </w:tabs>
        <w:ind w:left="-142" w:firstLine="0"/>
        <w:jc w:val="both"/>
        <w:rPr>
          <w:rFonts w:ascii="Verdana" w:hAnsi="Verdana"/>
          <w:i/>
          <w:sz w:val="20"/>
          <w:szCs w:val="20"/>
        </w:rPr>
      </w:pPr>
      <w:r>
        <w:rPr>
          <w:rFonts w:ascii="Verdana" w:hAnsi="Verdana"/>
          <w:sz w:val="20"/>
        </w:rPr>
        <w:t>Tenders shall be evaluated by the CA based on the price criterion.</w:t>
      </w:r>
    </w:p>
    <w:p w14:paraId="591F55A0" w14:textId="77777777" w:rsidR="00741634" w:rsidRPr="0032182C" w:rsidRDefault="00741634" w:rsidP="00C621F3">
      <w:pPr>
        <w:numPr>
          <w:ilvl w:val="1"/>
          <w:numId w:val="25"/>
        </w:numPr>
        <w:tabs>
          <w:tab w:val="left" w:pos="0"/>
          <w:tab w:val="left" w:pos="142"/>
          <w:tab w:val="left" w:pos="709"/>
          <w:tab w:val="left" w:pos="1276"/>
          <w:tab w:val="left" w:pos="2127"/>
        </w:tabs>
        <w:spacing w:after="0" w:line="240" w:lineRule="auto"/>
        <w:ind w:left="-142" w:firstLine="0"/>
        <w:jc w:val="both"/>
        <w:rPr>
          <w:rFonts w:ascii="Verdana" w:eastAsia="Times New Roman" w:hAnsi="Verdana"/>
          <w:sz w:val="20"/>
        </w:rPr>
      </w:pPr>
      <w:r>
        <w:rPr>
          <w:rFonts w:ascii="Verdana" w:hAnsi="Verdana"/>
          <w:sz w:val="20"/>
        </w:rPr>
        <w:t xml:space="preserve">The price quoted in Tenders will be evaluated in euro. If the Tender prices are indicated in a foreign currency, they will be converted by using the reference euro/foreign currency exchange rates announced by the European Central Bank. If the European Central Bank does not publish a reference exchange rate for the euro and a certain foreign currency, prices will be converted using the reference exchange rate published by Lietuvos </w:t>
      </w:r>
      <w:proofErr w:type="spellStart"/>
      <w:r>
        <w:rPr>
          <w:rFonts w:ascii="Verdana" w:hAnsi="Verdana"/>
          <w:sz w:val="20"/>
        </w:rPr>
        <w:t>bankas</w:t>
      </w:r>
      <w:proofErr w:type="spellEnd"/>
      <w:r>
        <w:rPr>
          <w:rFonts w:ascii="Verdana" w:hAnsi="Verdana"/>
          <w:sz w:val="20"/>
        </w:rPr>
        <w:t xml:space="preserve"> on the last day for the submission of Tenders. </w:t>
      </w:r>
      <w:r>
        <w:rPr>
          <w:rFonts w:ascii="Verdana" w:hAnsi="Verdana"/>
          <w:color w:val="0D0D0D"/>
          <w:sz w:val="20"/>
        </w:rPr>
        <w:t>The CA shall evaluate the total price of the Tender including VAT, expressed and calculated as indicated in Annex 2 to the Procurement Conditions.</w:t>
      </w:r>
    </w:p>
    <w:p w14:paraId="37F09BF2" w14:textId="77777777" w:rsidR="00741634" w:rsidRPr="0032182C" w:rsidRDefault="00741634" w:rsidP="00C621F3">
      <w:pPr>
        <w:numPr>
          <w:ilvl w:val="1"/>
          <w:numId w:val="25"/>
        </w:numPr>
        <w:tabs>
          <w:tab w:val="left" w:pos="0"/>
          <w:tab w:val="left" w:pos="142"/>
          <w:tab w:val="left" w:pos="709"/>
          <w:tab w:val="left" w:pos="1276"/>
          <w:tab w:val="left" w:pos="2127"/>
        </w:tabs>
        <w:spacing w:after="0" w:line="240" w:lineRule="auto"/>
        <w:ind w:left="-142" w:firstLine="0"/>
        <w:jc w:val="both"/>
        <w:rPr>
          <w:rFonts w:ascii="Verdana" w:hAnsi="Verdana"/>
          <w:sz w:val="20"/>
        </w:rPr>
      </w:pPr>
      <w:r>
        <w:rPr>
          <w:rFonts w:ascii="Verdana" w:hAnsi="Verdana"/>
          <w:sz w:val="20"/>
        </w:rPr>
        <w:t>If, in accordance with the procedure established by law, the CA has to pay VAT to the state budget for the purchase of the Procurement Object, the CA shall add the amount of this tax calculated at the VAT rate applicable in Lithuania on the date of submission of the Tender to the total price of the Tender offered by the Supplier, excluding VAT.</w:t>
      </w:r>
    </w:p>
    <w:p w14:paraId="5784170B" w14:textId="77777777" w:rsidR="00741634" w:rsidRPr="0032182C" w:rsidRDefault="006C11A7" w:rsidP="005B6D28">
      <w:pPr>
        <w:pStyle w:val="Heading1"/>
        <w:spacing w:before="240" w:after="120"/>
        <w:ind w:left="-142" w:firstLine="0"/>
        <w:rPr>
          <w:rFonts w:ascii="Verdana" w:hAnsi="Verdana"/>
          <w:b/>
          <w:sz w:val="20"/>
          <w:szCs w:val="20"/>
        </w:rPr>
      </w:pPr>
      <w:bookmarkStart w:id="18" w:name="_Toc70500212"/>
      <w:r>
        <w:rPr>
          <w:rFonts w:ascii="Verdana" w:hAnsi="Verdana"/>
          <w:b/>
          <w:sz w:val="20"/>
        </w:rPr>
        <w:t>RANKING TENDERS, SELECTING THE SUCCESSFUL TENDER AND AWARDING A PROCUREMENT CONTRACT</w:t>
      </w:r>
      <w:bookmarkEnd w:id="18"/>
    </w:p>
    <w:p w14:paraId="64FFD35A" w14:textId="77777777" w:rsidR="008E43AB" w:rsidRPr="0032182C" w:rsidRDefault="008E43AB" w:rsidP="00C621F3">
      <w:pPr>
        <w:numPr>
          <w:ilvl w:val="1"/>
          <w:numId w:val="26"/>
        </w:numPr>
        <w:tabs>
          <w:tab w:val="center" w:pos="0"/>
          <w:tab w:val="left" w:pos="567"/>
          <w:tab w:val="left" w:pos="2127"/>
        </w:tabs>
        <w:spacing w:after="0" w:line="240" w:lineRule="auto"/>
        <w:ind w:left="-142" w:firstLine="0"/>
        <w:jc w:val="both"/>
        <w:rPr>
          <w:rFonts w:ascii="Verdana" w:hAnsi="Verdana"/>
          <w:spacing w:val="-4"/>
          <w:sz w:val="20"/>
        </w:rPr>
      </w:pPr>
      <w:r>
        <w:rPr>
          <w:rFonts w:ascii="Verdana" w:hAnsi="Verdana"/>
          <w:sz w:val="20"/>
        </w:rPr>
        <w:t>Having examined, evaluated and compared submitted tenders, the CA shall rank the tenders and establish the successful tender (unless only one tender has been submitted). Tenders are ranked in order of decreasing economic advantage. If the economic advantage offered by several tenders is equal, the Supplier that submitted their Tender earlier will be ranked higher.</w:t>
      </w:r>
    </w:p>
    <w:p w14:paraId="72B6F18E" w14:textId="2B7AE741" w:rsidR="008E43AB" w:rsidRPr="0032182C" w:rsidRDefault="00892057" w:rsidP="00C621F3">
      <w:pPr>
        <w:numPr>
          <w:ilvl w:val="1"/>
          <w:numId w:val="26"/>
        </w:numPr>
        <w:tabs>
          <w:tab w:val="center" w:pos="0"/>
          <w:tab w:val="left" w:pos="567"/>
          <w:tab w:val="left" w:pos="2127"/>
        </w:tabs>
        <w:spacing w:after="0" w:line="240" w:lineRule="auto"/>
        <w:ind w:left="-142" w:firstLine="0"/>
        <w:jc w:val="both"/>
        <w:rPr>
          <w:rFonts w:ascii="Verdana" w:hAnsi="Verdana"/>
          <w:spacing w:val="-4"/>
          <w:sz w:val="20"/>
        </w:rPr>
      </w:pPr>
      <w:r>
        <w:rPr>
          <w:rFonts w:ascii="Verdana" w:hAnsi="Verdana"/>
          <w:color w:val="000000"/>
          <w:sz w:val="20"/>
        </w:rPr>
        <w:t>T</w:t>
      </w:r>
      <w:r>
        <w:rPr>
          <w:rFonts w:ascii="Verdana" w:hAnsi="Verdana"/>
          <w:sz w:val="20"/>
        </w:rPr>
        <w:t>he Tender that ranks first will be recognised as the successful Tender. If only one Tender is received and it meets the requirements of the Procurement Conditions, that Tender shall be declared the successful tender.</w:t>
      </w:r>
    </w:p>
    <w:p w14:paraId="47BFB29C" w14:textId="77777777" w:rsidR="009E146B" w:rsidRPr="0032182C" w:rsidRDefault="00892057" w:rsidP="00C621F3">
      <w:pPr>
        <w:numPr>
          <w:ilvl w:val="1"/>
          <w:numId w:val="26"/>
        </w:numPr>
        <w:tabs>
          <w:tab w:val="center" w:pos="0"/>
          <w:tab w:val="left" w:pos="567"/>
        </w:tabs>
        <w:spacing w:after="0" w:line="240" w:lineRule="auto"/>
        <w:ind w:left="-142" w:firstLine="0"/>
        <w:jc w:val="both"/>
        <w:rPr>
          <w:rFonts w:ascii="Verdana" w:hAnsi="Verdana"/>
          <w:sz w:val="20"/>
        </w:rPr>
      </w:pPr>
      <w:r>
        <w:rPr>
          <w:rFonts w:ascii="Verdana" w:hAnsi="Verdana"/>
          <w:sz w:val="20"/>
        </w:rPr>
        <w:t>The CA shall inform the tenderers no later than in 5 (five) days about its decision on the successful tender to be awarded the Procurement contract and present information that was not announced during the Procurement procedure, a summary, the tender rankings, the successful tender and the exact period for deferment. The CA shall also present the reasons why a decision was made not to award a contract and begin the procurement anew.</w:t>
      </w:r>
    </w:p>
    <w:p w14:paraId="5E89FF6D" w14:textId="77777777" w:rsidR="00892057" w:rsidRPr="0032182C" w:rsidRDefault="00892057" w:rsidP="00C621F3">
      <w:pPr>
        <w:numPr>
          <w:ilvl w:val="1"/>
          <w:numId w:val="26"/>
        </w:numPr>
        <w:tabs>
          <w:tab w:val="center" w:pos="0"/>
          <w:tab w:val="left" w:pos="567"/>
        </w:tabs>
        <w:spacing w:after="0" w:line="240" w:lineRule="auto"/>
        <w:ind w:left="-142" w:firstLine="0"/>
        <w:jc w:val="both"/>
        <w:rPr>
          <w:rFonts w:ascii="Verdana" w:hAnsi="Verdana"/>
          <w:sz w:val="20"/>
        </w:rPr>
      </w:pPr>
      <w:r>
        <w:rPr>
          <w:rFonts w:ascii="Verdana" w:hAnsi="Verdana"/>
          <w:sz w:val="20"/>
        </w:rPr>
        <w:t>Upon receiving a written request from an interested Supplier, the CA must provide the following information within in 15 (fifteen) days from the day it received the request:</w:t>
      </w:r>
    </w:p>
    <w:p w14:paraId="40F13D0F" w14:textId="17F29A6C" w:rsidR="00892057" w:rsidRPr="0032182C" w:rsidRDefault="00FB231B" w:rsidP="00C621F3">
      <w:pPr>
        <w:numPr>
          <w:ilvl w:val="2"/>
          <w:numId w:val="26"/>
        </w:numPr>
        <w:tabs>
          <w:tab w:val="center" w:pos="0"/>
          <w:tab w:val="left" w:pos="567"/>
          <w:tab w:val="left" w:pos="709"/>
        </w:tabs>
        <w:spacing w:after="0" w:line="240" w:lineRule="auto"/>
        <w:ind w:left="-142" w:firstLine="0"/>
        <w:jc w:val="both"/>
        <w:rPr>
          <w:rFonts w:ascii="Verdana" w:hAnsi="Verdana"/>
          <w:sz w:val="20"/>
        </w:rPr>
      </w:pPr>
      <w:r>
        <w:rPr>
          <w:rFonts w:ascii="Verdana" w:hAnsi="Verdana"/>
          <w:sz w:val="20"/>
        </w:rPr>
        <w:t xml:space="preserve">for the Supplier whose Tender was not rejected – the characteristics and relative advantages of the successful Tender, including the price, for which this Tender was recognised as the best offer, as well as the name(s) of the tenderer that submitted this Tender; </w:t>
      </w:r>
    </w:p>
    <w:p w14:paraId="0EE22AA3" w14:textId="77777777" w:rsidR="00892057" w:rsidRPr="0032182C" w:rsidRDefault="00FB231B" w:rsidP="00C621F3">
      <w:pPr>
        <w:numPr>
          <w:ilvl w:val="2"/>
          <w:numId w:val="27"/>
        </w:numPr>
        <w:tabs>
          <w:tab w:val="center" w:pos="0"/>
          <w:tab w:val="left" w:pos="567"/>
          <w:tab w:val="left" w:pos="709"/>
        </w:tabs>
        <w:spacing w:after="0" w:line="240" w:lineRule="auto"/>
        <w:ind w:left="-142" w:firstLine="0"/>
        <w:jc w:val="both"/>
        <w:rPr>
          <w:rFonts w:ascii="Verdana" w:hAnsi="Verdana"/>
          <w:sz w:val="20"/>
        </w:rPr>
      </w:pPr>
      <w:r>
        <w:rPr>
          <w:rFonts w:ascii="Verdana" w:hAnsi="Verdana"/>
          <w:sz w:val="20"/>
        </w:rPr>
        <w:t>for the Supplier whose tender was rejected – the grounds for the rejection of their Tender on the basis of non-equal treatment or why their Tender was rejected as not meeting the description or functional requirements of the Procurement Object.</w:t>
      </w:r>
    </w:p>
    <w:p w14:paraId="34151853" w14:textId="77777777" w:rsidR="00892057" w:rsidRPr="0032182C" w:rsidRDefault="00892057" w:rsidP="00C621F3">
      <w:pPr>
        <w:numPr>
          <w:ilvl w:val="1"/>
          <w:numId w:val="27"/>
        </w:numPr>
        <w:tabs>
          <w:tab w:val="center" w:pos="0"/>
          <w:tab w:val="left" w:pos="567"/>
        </w:tabs>
        <w:spacing w:after="0" w:line="240" w:lineRule="auto"/>
        <w:ind w:left="-142" w:firstLine="0"/>
        <w:jc w:val="both"/>
        <w:rPr>
          <w:rFonts w:ascii="Verdana" w:hAnsi="Verdana"/>
          <w:sz w:val="20"/>
        </w:rPr>
      </w:pPr>
      <w:r>
        <w:rPr>
          <w:rFonts w:ascii="Verdana" w:hAnsi="Verdana"/>
          <w:sz w:val="20"/>
        </w:rPr>
        <w:t>The CA shall not provide information if the disclosure of this information goes against regulations governing the protection of information and data or the public interest, violates the legal commercial interest of a specific Supplier or has a negative effect on competition between Suppliers.</w:t>
      </w:r>
    </w:p>
    <w:p w14:paraId="07A6D48C" w14:textId="6C746C18" w:rsidR="0079598B" w:rsidRPr="0032182C" w:rsidRDefault="0079598B" w:rsidP="00C621F3">
      <w:pPr>
        <w:numPr>
          <w:ilvl w:val="1"/>
          <w:numId w:val="27"/>
        </w:numPr>
        <w:tabs>
          <w:tab w:val="center" w:pos="0"/>
          <w:tab w:val="left" w:pos="567"/>
        </w:tabs>
        <w:suppressAutoHyphens/>
        <w:spacing w:after="0" w:line="240" w:lineRule="auto"/>
        <w:ind w:left="-142" w:firstLine="0"/>
        <w:jc w:val="both"/>
        <w:rPr>
          <w:rFonts w:ascii="Verdana" w:hAnsi="Verdana"/>
          <w:sz w:val="20"/>
        </w:rPr>
      </w:pPr>
      <w:r>
        <w:rPr>
          <w:rFonts w:ascii="Verdana" w:hAnsi="Verdana"/>
          <w:color w:val="000000"/>
          <w:sz w:val="20"/>
        </w:rPr>
        <w:t>The CA</w:t>
      </w:r>
      <w:r>
        <w:rPr>
          <w:rFonts w:ascii="Verdana" w:hAnsi="Verdana"/>
          <w:sz w:val="20"/>
        </w:rPr>
        <w:t xml:space="preserve"> shall announce the winning tender, the signed Procurement contract and its amendments if any changes are made to the Procurement contract, via CVP IS.</w:t>
      </w:r>
    </w:p>
    <w:p w14:paraId="4A2AEBC8" w14:textId="77777777" w:rsidR="006B2486" w:rsidRPr="0032182C" w:rsidRDefault="006B2486" w:rsidP="00C621F3">
      <w:pPr>
        <w:numPr>
          <w:ilvl w:val="1"/>
          <w:numId w:val="27"/>
        </w:numPr>
        <w:tabs>
          <w:tab w:val="center" w:pos="0"/>
          <w:tab w:val="left" w:pos="567"/>
        </w:tabs>
        <w:spacing w:after="0" w:line="240" w:lineRule="auto"/>
        <w:ind w:left="-142" w:firstLine="0"/>
        <w:jc w:val="both"/>
        <w:rPr>
          <w:rFonts w:ascii="Verdana" w:hAnsi="Verdana"/>
          <w:sz w:val="20"/>
        </w:rPr>
      </w:pPr>
      <w:r>
        <w:rPr>
          <w:rFonts w:ascii="Verdana" w:hAnsi="Verdana"/>
          <w:sz w:val="20"/>
        </w:rPr>
        <w:t>If the CA has any doubts about the confidentiality of information provided in the Supplier’s Tender, it shall ask the Supplier to justify the confidentiality of the information. If the Supplier fails to provide any such justification or provides inadequate proof within the time limit indicated by the CA, which shall be at least 5 (five) working days, such information will be deemed non-confidential.</w:t>
      </w:r>
    </w:p>
    <w:p w14:paraId="418378CA" w14:textId="77777777" w:rsidR="006C0029" w:rsidRPr="0032182C" w:rsidRDefault="003E4D45" w:rsidP="00C621F3">
      <w:pPr>
        <w:numPr>
          <w:ilvl w:val="1"/>
          <w:numId w:val="27"/>
        </w:numPr>
        <w:tabs>
          <w:tab w:val="left" w:pos="0"/>
          <w:tab w:val="left" w:pos="567"/>
        </w:tabs>
        <w:spacing w:after="0" w:line="240" w:lineRule="auto"/>
        <w:ind w:left="-142" w:firstLine="0"/>
        <w:jc w:val="both"/>
        <w:rPr>
          <w:rFonts w:ascii="Verdana" w:eastAsia="Times New Roman" w:hAnsi="Verdana"/>
          <w:sz w:val="20"/>
        </w:rPr>
      </w:pPr>
      <w:r>
        <w:rPr>
          <w:rFonts w:ascii="Verdana" w:hAnsi="Verdana"/>
          <w:sz w:val="20"/>
        </w:rPr>
        <w:lastRenderedPageBreak/>
        <w:t>Where the Supplier which is awarded the Procurement contract refuses in writing to conclude the contract or fails to sign the Procurement contract within the time frame set by the CA or refuses to conclude the procurement contract under the terms and conditions laid down in the LPP and the Procurement Documents, it shall be deemed that such a Supplier refused to conclude the Procurement contract. In this case, the CA shall award the contract to the Supplier whose Tender, according to the approved ranking, comes first after the Supplier refusing to the Procurement contract, provided that the conditions set out in Article 45(1) of the LPP are met.</w:t>
      </w:r>
    </w:p>
    <w:p w14:paraId="56CC1647" w14:textId="77777777" w:rsidR="00741634" w:rsidRPr="0032182C" w:rsidRDefault="006C11A7" w:rsidP="005B6D28">
      <w:pPr>
        <w:pStyle w:val="Heading1"/>
        <w:spacing w:before="240" w:after="120"/>
        <w:ind w:left="-142" w:firstLine="0"/>
        <w:rPr>
          <w:rFonts w:ascii="Verdana" w:hAnsi="Verdana"/>
          <w:b/>
          <w:sz w:val="20"/>
          <w:szCs w:val="20"/>
        </w:rPr>
      </w:pPr>
      <w:bookmarkStart w:id="19" w:name="_Toc70500213"/>
      <w:r>
        <w:rPr>
          <w:rFonts w:ascii="Verdana" w:hAnsi="Verdana"/>
          <w:b/>
          <w:sz w:val="20"/>
        </w:rPr>
        <w:t>PROCEDURE FOR HANDLING CLAIMS, COMPLAINTS AND DISPUTES</w:t>
      </w:r>
      <w:bookmarkEnd w:id="19"/>
    </w:p>
    <w:p w14:paraId="395D9A02" w14:textId="77777777" w:rsidR="00F82261" w:rsidRPr="0032182C" w:rsidRDefault="00F82261" w:rsidP="00C621F3">
      <w:pPr>
        <w:numPr>
          <w:ilvl w:val="0"/>
          <w:numId w:val="28"/>
        </w:numPr>
        <w:tabs>
          <w:tab w:val="left" w:pos="567"/>
        </w:tabs>
        <w:spacing w:after="0" w:line="240" w:lineRule="auto"/>
        <w:ind w:left="-142" w:firstLine="0"/>
        <w:jc w:val="both"/>
        <w:rPr>
          <w:rFonts w:ascii="Verdana" w:eastAsia="Times New Roman" w:hAnsi="Verdana"/>
          <w:sz w:val="20"/>
        </w:rPr>
      </w:pPr>
      <w:r>
        <w:rPr>
          <w:rFonts w:ascii="Verdana" w:hAnsi="Verdana"/>
          <w:sz w:val="20"/>
        </w:rPr>
        <w:t>If the Supplier considers that the CA failed to comply with the requirements set forth in the LPP, the Supplier shall be entitled to defend their allegedly violated rights and legal interests in accordance with the procedure set forth in Chapter VII of the LPP.</w:t>
      </w:r>
    </w:p>
    <w:p w14:paraId="54BCD03A" w14:textId="68078FD6" w:rsidR="00EF30CF" w:rsidRPr="0032182C" w:rsidRDefault="00EF30CF" w:rsidP="00C621F3">
      <w:pPr>
        <w:numPr>
          <w:ilvl w:val="0"/>
          <w:numId w:val="28"/>
        </w:numPr>
        <w:tabs>
          <w:tab w:val="left" w:pos="567"/>
        </w:tabs>
        <w:spacing w:after="0" w:line="240" w:lineRule="auto"/>
        <w:ind w:left="-142" w:firstLine="0"/>
        <w:jc w:val="both"/>
        <w:rPr>
          <w:rFonts w:ascii="Verdana" w:eastAsia="Times New Roman" w:hAnsi="Verdana"/>
          <w:sz w:val="20"/>
        </w:rPr>
      </w:pPr>
      <w:r>
        <w:rPr>
          <w:rFonts w:ascii="Verdana" w:hAnsi="Verdana"/>
          <w:sz w:val="20"/>
        </w:rPr>
        <w:t xml:space="preserve">In order to dispute the CA’s decisions or actions in court prior to concluding the Procurement contract, the Supplier shall first present a written claim (by fax, electronic means or delivery against a signature through postal service provider or other appropriate carrier) within 5 (five) working days </w:t>
      </w:r>
      <w:r>
        <w:rPr>
          <w:rFonts w:ascii="Verdana" w:hAnsi="Verdana"/>
          <w:i/>
          <w:iCs/>
          <w:sz w:val="20"/>
        </w:rPr>
        <w:t>after the CA sends the written notice about its decision to the Suppliers</w:t>
      </w:r>
      <w:r>
        <w:rPr>
          <w:rFonts w:ascii="Verdana" w:hAnsi="Verdana"/>
          <w:sz w:val="20"/>
        </w:rPr>
        <w:t>. The decision of the CA adopted after examining the Supplier’s claim may be appealed against in court in accordance with the procedure set forth in Chapter VII of the LPP.</w:t>
      </w:r>
    </w:p>
    <w:p w14:paraId="0A8A6EE4"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bCs/>
          <w:sz w:val="20"/>
        </w:rPr>
      </w:pPr>
      <w:r>
        <w:rPr>
          <w:rFonts w:ascii="Verdana" w:hAnsi="Verdana"/>
          <w:sz w:val="20"/>
        </w:rPr>
        <w:t>The CA shall only consider the claims, which had been received before the day of concluding the Procurement contract and submitted within the time limits set forth in paragraph 16.2. The CA shall not consider the repeated claims concerning the same decision or action taken by the CA.</w:t>
      </w:r>
    </w:p>
    <w:p w14:paraId="77FDEDC9" w14:textId="1C316544"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Pr>
          <w:rFonts w:ascii="Verdana" w:hAnsi="Verdana"/>
          <w:sz w:val="20"/>
        </w:rPr>
        <w:t>Upon the receipt of a written claim, the Procurement procedures shall be immediately suspended by the CA for the period of examination of the claim. The CA shall not conclude the Procurement contract earlier than 5 (five) working days after the day of sending a written notice of its decision to a Supplier that has submitted a complaint and interested Suppliers who had participated in the Procurement procedure.</w:t>
      </w:r>
    </w:p>
    <w:p w14:paraId="0890F6DE" w14:textId="77777777" w:rsidR="004C3845" w:rsidRPr="0032182C" w:rsidRDefault="004C3845" w:rsidP="00C621F3">
      <w:pPr>
        <w:numPr>
          <w:ilvl w:val="0"/>
          <w:numId w:val="28"/>
        </w:numPr>
        <w:tabs>
          <w:tab w:val="left" w:pos="567"/>
          <w:tab w:val="left" w:pos="993"/>
        </w:tabs>
        <w:spacing w:after="0" w:line="240" w:lineRule="auto"/>
        <w:ind w:left="-142" w:firstLine="0"/>
        <w:jc w:val="both"/>
        <w:rPr>
          <w:rFonts w:ascii="Verdana" w:hAnsi="Verdana"/>
          <w:b/>
          <w:sz w:val="20"/>
        </w:rPr>
      </w:pPr>
      <w:r>
        <w:rPr>
          <w:rFonts w:ascii="Verdana" w:hAnsi="Verdana"/>
          <w:sz w:val="20"/>
        </w:rPr>
        <w:t>The CA shall examine the claim, adopt a reasoned decision and inform the Supplier making the complaint and any interested participating Suppliers in writing about the decision as well as the changes in the deadlines of the Procurement procedure within 6 (six) working days from the day of receipt of the claim.</w:t>
      </w:r>
    </w:p>
    <w:p w14:paraId="1B06AC7D"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Pr>
          <w:rFonts w:ascii="Verdana" w:hAnsi="Verdana"/>
          <w:sz w:val="20"/>
        </w:rPr>
        <w:t>Upon filing an application or claim before court, the Supplier shall no later than within 3 (three) working days present a copy of the application or claim and proof of receipt by court to the CA.</w:t>
      </w:r>
    </w:p>
    <w:p w14:paraId="3079FCE7"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Pr>
          <w:rFonts w:ascii="Verdana" w:hAnsi="Verdana"/>
          <w:sz w:val="20"/>
        </w:rPr>
        <w:t>Upon receipt of a copy of the Supplier’s application or claim before court, the CA shall not be entitled to conclude the Procurement contract before the expiry of the delay period or the deadlines set forth in Article 103(2), Article 105(2)(3) and Article 105(3)(3) of the LPP and before the CA receives notification of court about:</w:t>
      </w:r>
    </w:p>
    <w:p w14:paraId="12D5DA11"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Pr>
          <w:rFonts w:ascii="Verdana" w:hAnsi="Verdana"/>
          <w:sz w:val="20"/>
        </w:rPr>
        <w:t>a reasoned court decision on refusal to accept the claim;</w:t>
      </w:r>
    </w:p>
    <w:p w14:paraId="29B35440"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Pr>
          <w:rFonts w:ascii="Verdana" w:hAnsi="Verdana"/>
          <w:sz w:val="20"/>
        </w:rPr>
        <w:t>a reasoned court decision on rejection of the Supplier’s request for interim measures, if the request had been received in court prior to filing a claim;</w:t>
      </w:r>
    </w:p>
    <w:p w14:paraId="215EA5A3"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Pr>
          <w:rFonts w:ascii="Verdana" w:hAnsi="Verdana"/>
          <w:sz w:val="20"/>
        </w:rPr>
        <w:t>a court resolution to accept the claim without interim measures.</w:t>
      </w:r>
    </w:p>
    <w:p w14:paraId="5A0340FD"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Pr>
          <w:rFonts w:ascii="Verdana" w:hAnsi="Verdana"/>
          <w:sz w:val="20"/>
        </w:rPr>
        <w:t>If the deadlines for the Procurement procedures previously announced to the Suppliers are extended due to the Supplier’s application or claim before court, the CA shall send notifications about the extension to the Suppliers specifying the reasons for extending the deadlines.</w:t>
      </w:r>
    </w:p>
    <w:p w14:paraId="772BE620"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Pr>
          <w:rFonts w:ascii="Verdana" w:hAnsi="Verdana"/>
          <w:sz w:val="20"/>
        </w:rPr>
        <w:t>Upon finding out about a court decision concerning the Supplier’s application or claim, the CA shall no later than within 3 (three) working days inform the interested candidates and interested Suppliers in writing about the decisions of the court.</w:t>
      </w:r>
    </w:p>
    <w:p w14:paraId="5AA5B852" w14:textId="77777777" w:rsidR="00741634" w:rsidRPr="0032182C" w:rsidRDefault="006B40CB" w:rsidP="005B6D28">
      <w:pPr>
        <w:pStyle w:val="Heading1"/>
        <w:spacing w:before="240" w:after="120"/>
        <w:ind w:left="-142" w:firstLine="0"/>
        <w:rPr>
          <w:rFonts w:ascii="Verdana" w:hAnsi="Verdana"/>
          <w:b/>
          <w:sz w:val="20"/>
          <w:szCs w:val="20"/>
        </w:rPr>
      </w:pPr>
      <w:bookmarkStart w:id="20" w:name="_Toc70500214"/>
      <w:r>
        <w:rPr>
          <w:rFonts w:ascii="Verdana" w:hAnsi="Verdana"/>
          <w:b/>
          <w:sz w:val="20"/>
        </w:rPr>
        <w:t>TERMS AND CONDITIONS OF THE PROCUREMENT CONTRACT</w:t>
      </w:r>
      <w:bookmarkEnd w:id="20"/>
    </w:p>
    <w:p w14:paraId="0373E1DA" w14:textId="414CAF21" w:rsidR="00E37740" w:rsidRPr="0032182C" w:rsidRDefault="00290FB0" w:rsidP="00C621F3">
      <w:pPr>
        <w:pStyle w:val="ListParagraph"/>
        <w:numPr>
          <w:ilvl w:val="0"/>
          <w:numId w:val="13"/>
        </w:numPr>
        <w:tabs>
          <w:tab w:val="left" w:pos="567"/>
        </w:tabs>
        <w:spacing w:after="0" w:line="240" w:lineRule="auto"/>
        <w:ind w:left="-142" w:firstLine="0"/>
        <w:jc w:val="both"/>
        <w:rPr>
          <w:rFonts w:ascii="Verdana" w:hAnsi="Verdana"/>
          <w:sz w:val="20"/>
          <w:szCs w:val="20"/>
        </w:rPr>
      </w:pPr>
      <w:r>
        <w:rPr>
          <w:rFonts w:ascii="Verdana" w:hAnsi="Verdana"/>
          <w:sz w:val="20"/>
        </w:rPr>
        <w:t>The Procurement contract shall be concluded immediately, but not earlier than the expiry of the delay period, which shall be 5 (five) working days. The delay period may not apply where the only interested participant is the one awarded the Procurement contract.</w:t>
      </w:r>
    </w:p>
    <w:p w14:paraId="6A6E6C63" w14:textId="66C827CB"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rPr>
      </w:pPr>
      <w:r>
        <w:rPr>
          <w:rFonts w:ascii="Verdana" w:hAnsi="Verdana"/>
          <w:sz w:val="20"/>
        </w:rPr>
        <w:t>When preparing the Procurement contract, the price of the successful Tender and the Procurement Conditions shall not be subject to changes.</w:t>
      </w:r>
    </w:p>
    <w:p w14:paraId="11314200" w14:textId="77777777"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rPr>
      </w:pPr>
      <w:r>
        <w:rPr>
          <w:rFonts w:ascii="Verdana" w:hAnsi="Verdana"/>
          <w:sz w:val="20"/>
        </w:rPr>
        <w:t>During the contractual period, the Procurement contract may only be amended in the cases and within the scope defined in Article 89 of the LPP.</w:t>
      </w:r>
    </w:p>
    <w:p w14:paraId="6176D977" w14:textId="37988F90"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rPr>
      </w:pPr>
      <w:r>
        <w:rPr>
          <w:rFonts w:ascii="Verdana" w:hAnsi="Verdana"/>
          <w:sz w:val="20"/>
        </w:rPr>
        <w:t>The draft Procurement contract shall be presented in Annex 4 to the Procurement Conditions.</w:t>
      </w:r>
    </w:p>
    <w:p w14:paraId="212E48AE" w14:textId="46C10792" w:rsidR="00741634" w:rsidRPr="0032182C" w:rsidRDefault="001F4A4E" w:rsidP="005B6D28">
      <w:pPr>
        <w:pStyle w:val="Heading1"/>
        <w:spacing w:before="240" w:after="120"/>
        <w:ind w:left="-142" w:firstLine="0"/>
        <w:rPr>
          <w:rFonts w:ascii="Verdana" w:hAnsi="Verdana"/>
          <w:b/>
          <w:sz w:val="20"/>
          <w:szCs w:val="20"/>
        </w:rPr>
      </w:pPr>
      <w:bookmarkStart w:id="21" w:name="_Toc70500215"/>
      <w:r>
        <w:rPr>
          <w:rFonts w:ascii="Verdana" w:hAnsi="Verdana"/>
          <w:b/>
          <w:sz w:val="20"/>
        </w:rPr>
        <w:lastRenderedPageBreak/>
        <w:t xml:space="preserve"> FINAL PROVISIONS</w:t>
      </w:r>
      <w:bookmarkEnd w:id="21"/>
    </w:p>
    <w:p w14:paraId="593549E9" w14:textId="36BC3F57" w:rsidR="00741634" w:rsidRPr="0032182C" w:rsidRDefault="00E671B6" w:rsidP="00C621F3">
      <w:pPr>
        <w:numPr>
          <w:ilvl w:val="1"/>
          <w:numId w:val="30"/>
        </w:numPr>
        <w:tabs>
          <w:tab w:val="left" w:pos="567"/>
          <w:tab w:val="left" w:pos="1276"/>
          <w:tab w:val="left" w:pos="2127"/>
        </w:tabs>
        <w:spacing w:after="0" w:line="240" w:lineRule="auto"/>
        <w:ind w:left="-142" w:firstLine="0"/>
        <w:jc w:val="both"/>
        <w:rPr>
          <w:rFonts w:ascii="Verdana" w:hAnsi="Verdana"/>
          <w:sz w:val="20"/>
        </w:rPr>
      </w:pPr>
      <w:r>
        <w:rPr>
          <w:rFonts w:ascii="Verdana" w:hAnsi="Verdana"/>
          <w:sz w:val="20"/>
        </w:rPr>
        <w:t>Procurement procedures, which are not defined in the present Procurement Conditions, shall be conducted in accordance with the relevant provisions of the LPP and other legal acts regulating public procurement.</w:t>
      </w:r>
    </w:p>
    <w:p w14:paraId="61346009" w14:textId="21390417" w:rsidR="0031395E" w:rsidRPr="0032182C" w:rsidRDefault="0031395E" w:rsidP="0031395E">
      <w:pPr>
        <w:tabs>
          <w:tab w:val="left" w:pos="567"/>
          <w:tab w:val="left" w:pos="1276"/>
          <w:tab w:val="left" w:pos="2127"/>
        </w:tabs>
        <w:spacing w:after="0" w:line="240" w:lineRule="auto"/>
        <w:ind w:left="-142"/>
        <w:jc w:val="center"/>
        <w:rPr>
          <w:rFonts w:ascii="Verdana" w:hAnsi="Verdana"/>
          <w:sz w:val="20"/>
        </w:rPr>
      </w:pPr>
      <w:r>
        <w:rPr>
          <w:rFonts w:ascii="Verdana" w:hAnsi="Verdana"/>
          <w:sz w:val="20"/>
        </w:rPr>
        <w:t>_______________________</w:t>
      </w:r>
    </w:p>
    <w:p w14:paraId="64B6B368" w14:textId="77777777" w:rsidR="006B40CB" w:rsidRPr="0032182C" w:rsidRDefault="006B40CB" w:rsidP="008A42EC">
      <w:pPr>
        <w:tabs>
          <w:tab w:val="center" w:pos="1134"/>
          <w:tab w:val="left" w:pos="1276"/>
          <w:tab w:val="left" w:pos="2127"/>
        </w:tabs>
        <w:spacing w:after="0" w:line="240" w:lineRule="auto"/>
        <w:ind w:left="-142"/>
        <w:jc w:val="both"/>
        <w:rPr>
          <w:rFonts w:ascii="Verdana" w:hAnsi="Verdana"/>
          <w:sz w:val="20"/>
          <w:lang w:eastAsia="en-US"/>
        </w:rPr>
      </w:pPr>
    </w:p>
    <w:p w14:paraId="1D427946" w14:textId="77777777" w:rsidR="00992A58" w:rsidRPr="0032182C" w:rsidRDefault="00992A58" w:rsidP="008A42EC">
      <w:pPr>
        <w:tabs>
          <w:tab w:val="left" w:pos="851"/>
        </w:tabs>
        <w:suppressAutoHyphens/>
        <w:spacing w:after="0" w:line="240" w:lineRule="auto"/>
        <w:ind w:left="-142"/>
        <w:jc w:val="both"/>
        <w:rPr>
          <w:rFonts w:ascii="Verdana" w:hAnsi="Verdana"/>
          <w:sz w:val="20"/>
        </w:rPr>
      </w:pPr>
    </w:p>
    <w:p w14:paraId="3D80CA7E" w14:textId="77777777" w:rsidR="00741634" w:rsidRPr="0032182C" w:rsidRDefault="00741634" w:rsidP="008A42EC">
      <w:pPr>
        <w:tabs>
          <w:tab w:val="center" w:pos="1134"/>
          <w:tab w:val="left" w:pos="1276"/>
          <w:tab w:val="left" w:pos="2127"/>
        </w:tabs>
        <w:spacing w:after="0" w:line="240" w:lineRule="auto"/>
        <w:ind w:left="-142"/>
        <w:jc w:val="right"/>
        <w:rPr>
          <w:rFonts w:ascii="Verdana" w:eastAsia="Times New Roman" w:hAnsi="Verdana"/>
          <w:sz w:val="20"/>
        </w:rPr>
      </w:pPr>
      <w:r>
        <w:br w:type="page"/>
      </w:r>
      <w:r>
        <w:rPr>
          <w:rFonts w:ascii="Verdana" w:hAnsi="Verdana"/>
          <w:sz w:val="20"/>
        </w:rPr>
        <w:lastRenderedPageBreak/>
        <w:t>Annex 1 to the Procurement Conditions</w:t>
      </w:r>
    </w:p>
    <w:p w14:paraId="15C04E1A" w14:textId="77777777" w:rsidR="004833BA" w:rsidRPr="0032182C" w:rsidRDefault="004833BA" w:rsidP="00D75299">
      <w:pPr>
        <w:tabs>
          <w:tab w:val="center" w:pos="1134"/>
          <w:tab w:val="left" w:pos="1276"/>
          <w:tab w:val="left" w:pos="2127"/>
        </w:tabs>
        <w:spacing w:after="0" w:line="240" w:lineRule="auto"/>
        <w:ind w:firstLine="851"/>
        <w:jc w:val="center"/>
        <w:rPr>
          <w:rFonts w:ascii="Verdana" w:hAnsi="Verdana"/>
          <w:b/>
          <w:sz w:val="20"/>
          <w:lang w:eastAsia="en-US"/>
        </w:rPr>
      </w:pPr>
    </w:p>
    <w:p w14:paraId="26E77F9B" w14:textId="2EDDA984" w:rsidR="006C27A4" w:rsidRPr="0032182C" w:rsidRDefault="00EE154F" w:rsidP="006F10F2">
      <w:pPr>
        <w:spacing w:after="0" w:line="240" w:lineRule="auto"/>
        <w:ind w:firstLine="142"/>
        <w:jc w:val="center"/>
        <w:rPr>
          <w:rFonts w:ascii="Verdana" w:hAnsi="Verdana"/>
          <w:b/>
          <w:sz w:val="20"/>
        </w:rPr>
      </w:pPr>
      <w:r>
        <w:rPr>
          <w:rFonts w:ascii="Verdana" w:hAnsi="Verdana"/>
          <w:b/>
          <w:caps/>
          <w:sz w:val="20"/>
        </w:rPr>
        <w:t xml:space="preserve">CENTROLINK SYSTEM INSURANCE </w:t>
      </w:r>
      <w:r>
        <w:rPr>
          <w:rFonts w:ascii="Verdana" w:hAnsi="Verdana"/>
          <w:b/>
          <w:sz w:val="20"/>
        </w:rPr>
        <w:t>SERVICES</w:t>
      </w:r>
    </w:p>
    <w:p w14:paraId="1A1713DC" w14:textId="77777777" w:rsidR="006C27A4" w:rsidRPr="0032182C" w:rsidRDefault="006C27A4" w:rsidP="006C27A4">
      <w:pPr>
        <w:spacing w:after="0" w:line="240" w:lineRule="auto"/>
        <w:ind w:firstLine="142"/>
        <w:jc w:val="center"/>
        <w:rPr>
          <w:rFonts w:ascii="Verdana" w:hAnsi="Verdana"/>
          <w:b/>
          <w:sz w:val="20"/>
        </w:rPr>
      </w:pPr>
      <w:r>
        <w:rPr>
          <w:rFonts w:ascii="Verdana" w:hAnsi="Verdana"/>
          <w:b/>
          <w:sz w:val="20"/>
        </w:rPr>
        <w:t>TECHNICAL SPECIFICATION</w:t>
      </w:r>
    </w:p>
    <w:p w14:paraId="7192DC5C" w14:textId="77777777" w:rsidR="00DD520F" w:rsidRPr="0032182C" w:rsidRDefault="00DD520F" w:rsidP="006159E9">
      <w:pPr>
        <w:tabs>
          <w:tab w:val="left" w:pos="993"/>
        </w:tabs>
        <w:spacing w:after="0" w:line="240" w:lineRule="auto"/>
        <w:jc w:val="both"/>
        <w:rPr>
          <w:rFonts w:ascii="Verdana" w:hAnsi="Verdana"/>
          <w:b/>
          <w:sz w:val="20"/>
          <w:lang w:eastAsia="ar-SA"/>
        </w:rPr>
      </w:pPr>
    </w:p>
    <w:p w14:paraId="1B212680" w14:textId="77777777" w:rsidR="0032182C" w:rsidRPr="0032182C" w:rsidRDefault="0032182C" w:rsidP="001D6290">
      <w:pPr>
        <w:pStyle w:val="ListParagraph"/>
        <w:numPr>
          <w:ilvl w:val="0"/>
          <w:numId w:val="66"/>
        </w:numPr>
        <w:spacing w:after="0" w:line="240" w:lineRule="auto"/>
        <w:ind w:left="218"/>
        <w:jc w:val="both"/>
        <w:outlineLvl w:val="0"/>
        <w:rPr>
          <w:rFonts w:ascii="Verdana" w:eastAsia="Times New Roman" w:hAnsi="Verdana"/>
          <w:b/>
          <w:bCs/>
          <w:sz w:val="20"/>
          <w:szCs w:val="20"/>
        </w:rPr>
      </w:pPr>
      <w:r>
        <w:rPr>
          <w:rFonts w:ascii="Verdana" w:hAnsi="Verdana"/>
          <w:b/>
          <w:sz w:val="20"/>
        </w:rPr>
        <w:t>Procurement Object.</w:t>
      </w:r>
    </w:p>
    <w:p w14:paraId="61CEC33B"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rPr>
      </w:pPr>
      <w:r>
        <w:rPr>
          <w:rFonts w:ascii="Verdana" w:hAnsi="Verdana"/>
          <w:sz w:val="20"/>
        </w:rPr>
        <w:t xml:space="preserve">The Procurement Object is insurance for the activities of the payment information system CENTROlink (hereinafter, the CENTROlink System) managed by Lietuvos </w:t>
      </w:r>
      <w:proofErr w:type="spellStart"/>
      <w:r>
        <w:rPr>
          <w:rFonts w:ascii="Verdana" w:hAnsi="Verdana"/>
          <w:sz w:val="20"/>
        </w:rPr>
        <w:t>bankas</w:t>
      </w:r>
      <w:proofErr w:type="spellEnd"/>
      <w:r>
        <w:rPr>
          <w:rFonts w:ascii="Verdana" w:hAnsi="Verdana"/>
          <w:sz w:val="20"/>
        </w:rPr>
        <w:t xml:space="preserve">, professional indemnity insurance for the employees of Lietuvos </w:t>
      </w:r>
      <w:proofErr w:type="spellStart"/>
      <w:r>
        <w:rPr>
          <w:rFonts w:ascii="Verdana" w:hAnsi="Verdana"/>
          <w:sz w:val="20"/>
        </w:rPr>
        <w:t>bankas</w:t>
      </w:r>
      <w:proofErr w:type="spellEnd"/>
      <w:r>
        <w:rPr>
          <w:rFonts w:ascii="Verdana" w:hAnsi="Verdana"/>
          <w:sz w:val="20"/>
        </w:rPr>
        <w:t xml:space="preserve"> whose professional activities are related to CENTROlink, and cyber risk insurance (hereinafter, CENTROlink System Insurance Services).</w:t>
      </w:r>
    </w:p>
    <w:p w14:paraId="54249A41"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rPr>
      </w:pPr>
      <w:r>
        <w:rPr>
          <w:rFonts w:ascii="Verdana" w:hAnsi="Verdana"/>
          <w:sz w:val="20"/>
        </w:rPr>
        <w:t>The insurance services must ensure that the Policyholder is protected against third-party claims and losses related to the stable and effective operation of CENTROlink, the professional activities of employees and cyber incidents.</w:t>
      </w:r>
    </w:p>
    <w:p w14:paraId="1B3E9811"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rPr>
      </w:pPr>
      <w:r>
        <w:rPr>
          <w:rFonts w:ascii="Verdana" w:hAnsi="Verdana"/>
          <w:sz w:val="20"/>
        </w:rPr>
        <w:t xml:space="preserve">Description of the object’s activities: CENTROlink is the payment system of Lietuvos </w:t>
      </w:r>
      <w:proofErr w:type="spellStart"/>
      <w:r>
        <w:rPr>
          <w:rFonts w:ascii="Verdana" w:hAnsi="Verdana"/>
          <w:sz w:val="20"/>
        </w:rPr>
        <w:t>bankas</w:t>
      </w:r>
      <w:proofErr w:type="spellEnd"/>
      <w:r>
        <w:rPr>
          <w:rFonts w:ascii="Verdana" w:hAnsi="Verdana"/>
          <w:sz w:val="20"/>
        </w:rPr>
        <w:t xml:space="preserve">, which enables all payment service providers (PSPs) licensed in the European Economic Area – banks, specialised banks, credit unions, electronic money institutions and payment institutions – to join the single euro payments area (SEPA). PSPs participating in the system are able to provide their customers with all SEPA payment services, including credit transfers, direct debit transfers and instant payments. System customers can also use other additional services: alternative identifier search service and the payee verification service of Lietuvos </w:t>
      </w:r>
      <w:proofErr w:type="spellStart"/>
      <w:r>
        <w:rPr>
          <w:rFonts w:ascii="Verdana" w:hAnsi="Verdana"/>
          <w:sz w:val="20"/>
        </w:rPr>
        <w:t>bankas</w:t>
      </w:r>
      <w:proofErr w:type="spellEnd"/>
      <w:r>
        <w:rPr>
          <w:rFonts w:ascii="Verdana" w:hAnsi="Verdana"/>
          <w:sz w:val="20"/>
        </w:rPr>
        <w:t>. The operation of the CENTROlink System and the procedure for the provision of additional services are governed by:</w:t>
      </w:r>
    </w:p>
    <w:p w14:paraId="4B5C7F98"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rPr>
      </w:pPr>
      <w:hyperlink r:id="rId29" w:history="1">
        <w:r>
          <w:rPr>
            <w:rStyle w:val="Hyperlink"/>
            <w:rFonts w:ascii="Verdana" w:hAnsi="Verdana"/>
            <w:sz w:val="20"/>
          </w:rPr>
          <w:t xml:space="preserve">Operating Rules of the CENTROlink Payment System of Lietuvos </w:t>
        </w:r>
        <w:proofErr w:type="spellStart"/>
        <w:r>
          <w:rPr>
            <w:rStyle w:val="Hyperlink"/>
            <w:rFonts w:ascii="Verdana" w:hAnsi="Verdana"/>
            <w:sz w:val="20"/>
          </w:rPr>
          <w:t>bankas</w:t>
        </w:r>
        <w:proofErr w:type="spellEnd"/>
        <w:r>
          <w:rPr>
            <w:rStyle w:val="Hyperlink"/>
            <w:rFonts w:ascii="Verdana" w:hAnsi="Verdana"/>
            <w:sz w:val="20"/>
          </w:rPr>
          <w:t xml:space="preserve">, approved by Resolution No 03-164 of the Board of the Lietuvos </w:t>
        </w:r>
        <w:proofErr w:type="spellStart"/>
        <w:r>
          <w:rPr>
            <w:rStyle w:val="Hyperlink"/>
            <w:rFonts w:ascii="Verdana" w:hAnsi="Verdana"/>
            <w:sz w:val="20"/>
          </w:rPr>
          <w:t>bankas</w:t>
        </w:r>
        <w:proofErr w:type="spellEnd"/>
        <w:r>
          <w:rPr>
            <w:rStyle w:val="Hyperlink"/>
            <w:rFonts w:ascii="Verdana" w:hAnsi="Verdana"/>
            <w:sz w:val="20"/>
          </w:rPr>
          <w:t xml:space="preserve"> of 29 October 2015 on the approval of the operating rules of the CENTROlink Payment System of Lietuvos </w:t>
        </w:r>
        <w:proofErr w:type="spellStart"/>
        <w:r>
          <w:rPr>
            <w:rStyle w:val="Hyperlink"/>
            <w:rFonts w:ascii="Verdana" w:hAnsi="Verdana"/>
            <w:sz w:val="20"/>
          </w:rPr>
          <w:t>bankas</w:t>
        </w:r>
        <w:proofErr w:type="spellEnd"/>
        <w:r>
          <w:rPr>
            <w:rStyle w:val="Hyperlink"/>
            <w:rFonts w:ascii="Verdana" w:hAnsi="Verdana"/>
            <w:sz w:val="20"/>
          </w:rPr>
          <w:t xml:space="preserve"> (current valid summary version).</w:t>
        </w:r>
      </w:hyperlink>
    </w:p>
    <w:p w14:paraId="3697C5A2"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rPr>
      </w:pPr>
      <w:hyperlink r:id="rId30" w:history="1">
        <w:r>
          <w:rPr>
            <w:rStyle w:val="Hyperlink"/>
            <w:rFonts w:ascii="Verdana" w:hAnsi="Verdana"/>
            <w:sz w:val="20"/>
          </w:rPr>
          <w:t xml:space="preserve">Proxy Lookup Service System Regulations approved by Resolution No 03-180 of 4 October 2018 of the Board of Lietuvos </w:t>
        </w:r>
        <w:proofErr w:type="spellStart"/>
        <w:r>
          <w:rPr>
            <w:rStyle w:val="Hyperlink"/>
            <w:rFonts w:ascii="Verdana" w:hAnsi="Verdana"/>
            <w:sz w:val="20"/>
          </w:rPr>
          <w:t>bankas</w:t>
        </w:r>
        <w:proofErr w:type="spellEnd"/>
        <w:r>
          <w:rPr>
            <w:rStyle w:val="Hyperlink"/>
            <w:rFonts w:ascii="Verdana" w:hAnsi="Verdana"/>
            <w:sz w:val="20"/>
          </w:rPr>
          <w:t xml:space="preserve"> on the approval of the proxy lookup service system regulations (current valid summary version).</w:t>
        </w:r>
      </w:hyperlink>
    </w:p>
    <w:p w14:paraId="7785A267"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rPr>
      </w:pPr>
      <w:hyperlink r:id="rId31" w:history="1">
        <w:r>
          <w:rPr>
            <w:rStyle w:val="Hyperlink"/>
            <w:rFonts w:ascii="Verdana" w:hAnsi="Verdana"/>
            <w:sz w:val="20"/>
          </w:rPr>
          <w:t xml:space="preserve">Regulations for the Verification of Payee in the CENTROlink Payment System of Lietuvos </w:t>
        </w:r>
        <w:proofErr w:type="spellStart"/>
        <w:r>
          <w:rPr>
            <w:rStyle w:val="Hyperlink"/>
            <w:rFonts w:ascii="Verdana" w:hAnsi="Verdana"/>
            <w:sz w:val="20"/>
          </w:rPr>
          <w:t>bankas</w:t>
        </w:r>
        <w:proofErr w:type="spellEnd"/>
        <w:r>
          <w:rPr>
            <w:rStyle w:val="Hyperlink"/>
            <w:rFonts w:ascii="Verdana" w:hAnsi="Verdana"/>
            <w:sz w:val="20"/>
          </w:rPr>
          <w:t xml:space="preserve">, approved by Resolution No 03-123 of the Board of the Lietuvos </w:t>
        </w:r>
        <w:proofErr w:type="spellStart"/>
        <w:r>
          <w:rPr>
            <w:rStyle w:val="Hyperlink"/>
            <w:rFonts w:ascii="Verdana" w:hAnsi="Verdana"/>
            <w:sz w:val="20"/>
          </w:rPr>
          <w:t>bankas</w:t>
        </w:r>
        <w:proofErr w:type="spellEnd"/>
        <w:r>
          <w:rPr>
            <w:rStyle w:val="Hyperlink"/>
            <w:rFonts w:ascii="Verdana" w:hAnsi="Verdana"/>
            <w:sz w:val="20"/>
          </w:rPr>
          <w:t xml:space="preserve"> of 26 August 2025 on the approval of the regulations for the verification of payee in the CENTROlink Payment System of Lietuvos </w:t>
        </w:r>
        <w:proofErr w:type="spellStart"/>
        <w:r>
          <w:rPr>
            <w:rStyle w:val="Hyperlink"/>
            <w:rFonts w:ascii="Verdana" w:hAnsi="Verdana"/>
            <w:sz w:val="20"/>
          </w:rPr>
          <w:t>bankas</w:t>
        </w:r>
        <w:proofErr w:type="spellEnd"/>
        <w:r>
          <w:rPr>
            <w:rStyle w:val="Hyperlink"/>
            <w:rFonts w:ascii="Verdana" w:hAnsi="Verdana"/>
            <w:sz w:val="20"/>
          </w:rPr>
          <w:t xml:space="preserve"> (current valid summary version).</w:t>
        </w:r>
      </w:hyperlink>
    </w:p>
    <w:p w14:paraId="09EF5C4E" w14:textId="77777777" w:rsidR="0032182C" w:rsidRPr="0032182C" w:rsidRDefault="0032182C" w:rsidP="001D6290">
      <w:pPr>
        <w:pStyle w:val="ListParagraph"/>
        <w:numPr>
          <w:ilvl w:val="1"/>
          <w:numId w:val="66"/>
        </w:numPr>
        <w:spacing w:after="0" w:line="240" w:lineRule="auto"/>
        <w:ind w:left="578"/>
        <w:jc w:val="both"/>
        <w:rPr>
          <w:rFonts w:ascii="Verdana" w:eastAsia="Times New Roman" w:hAnsi="Verdana"/>
          <w:sz w:val="20"/>
          <w:szCs w:val="20"/>
        </w:rPr>
      </w:pPr>
      <w:r>
        <w:rPr>
          <w:rFonts w:ascii="Verdana" w:hAnsi="Verdana"/>
          <w:sz w:val="20"/>
        </w:rPr>
        <w:t>Overview of CENTROlink System operation:</w:t>
      </w:r>
    </w:p>
    <w:p w14:paraId="3EB4D26F" w14:textId="77777777" w:rsidR="0032182C" w:rsidRPr="0032182C" w:rsidRDefault="0032182C" w:rsidP="001D6290">
      <w:pPr>
        <w:pStyle w:val="ListParagraph"/>
        <w:numPr>
          <w:ilvl w:val="2"/>
          <w:numId w:val="66"/>
        </w:numPr>
        <w:spacing w:after="0" w:line="240" w:lineRule="auto"/>
        <w:ind w:left="578"/>
        <w:jc w:val="both"/>
        <w:rPr>
          <w:rFonts w:ascii="Verdana" w:eastAsia="Times New Roman" w:hAnsi="Verdana"/>
          <w:sz w:val="20"/>
          <w:szCs w:val="20"/>
        </w:rPr>
      </w:pPr>
      <w:r>
        <w:rPr>
          <w:rFonts w:ascii="Verdana" w:hAnsi="Verdana"/>
          <w:sz w:val="20"/>
        </w:rPr>
        <w:t>Leading indicators:</w:t>
      </w:r>
    </w:p>
    <w:tbl>
      <w:tblPr>
        <w:tblW w:w="10073"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35"/>
        <w:gridCol w:w="1134"/>
        <w:gridCol w:w="1134"/>
        <w:gridCol w:w="1134"/>
        <w:gridCol w:w="1134"/>
        <w:gridCol w:w="1102"/>
      </w:tblGrid>
      <w:tr w:rsidR="0032182C" w:rsidRPr="0032182C" w14:paraId="311C6129" w14:textId="77777777" w:rsidTr="00932ACB">
        <w:trPr>
          <w:trHeight w:val="375"/>
          <w:tblHeader/>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08C15C"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Indicator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EEC1C2"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2020</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8C196C"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2021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B83E4B"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2022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3A98F7"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2023</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0B0DC7" w14:textId="77777777" w:rsidR="0032182C" w:rsidRPr="0032182C" w:rsidRDefault="0032182C" w:rsidP="00E04B64">
            <w:pPr>
              <w:spacing w:after="0" w:line="240" w:lineRule="auto"/>
              <w:ind w:left="-142"/>
              <w:jc w:val="center"/>
              <w:rPr>
                <w:rFonts w:ascii="Verdana" w:eastAsia="Times New Roman" w:hAnsi="Verdana"/>
                <w:b/>
                <w:bCs/>
                <w:sz w:val="20"/>
              </w:rPr>
            </w:pPr>
            <w:r>
              <w:rPr>
                <w:rFonts w:ascii="Verdana" w:hAnsi="Verdana"/>
                <w:b/>
                <w:sz w:val="20"/>
              </w:rPr>
              <w:t>2024</w:t>
            </w:r>
          </w:p>
        </w:tc>
      </w:tr>
      <w:tr w:rsidR="0032182C" w:rsidRPr="0032182C" w14:paraId="1D3B2A46"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C841E1" w14:textId="77777777" w:rsidR="0032182C" w:rsidRPr="0032182C" w:rsidRDefault="0032182C" w:rsidP="001D6290">
            <w:pPr>
              <w:spacing w:after="0" w:line="240" w:lineRule="auto"/>
              <w:ind w:left="57" w:firstLine="57"/>
              <w:jc w:val="both"/>
              <w:rPr>
                <w:rFonts w:ascii="Verdana" w:eastAsia="Times New Roman" w:hAnsi="Verdana"/>
                <w:sz w:val="20"/>
              </w:rPr>
            </w:pPr>
            <w:r>
              <w:rPr>
                <w:rFonts w:ascii="Verdana" w:hAnsi="Verdana"/>
                <w:sz w:val="20"/>
              </w:rPr>
              <w:t>Number of payment service providers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94225E"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136</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F72A85"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149</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26F6E7"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148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DAB371"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143</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22C062"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138</w:t>
            </w:r>
          </w:p>
        </w:tc>
      </w:tr>
      <w:tr w:rsidR="0032182C" w:rsidRPr="0032182C" w14:paraId="580240EA"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D17B87" w14:textId="77777777" w:rsidR="0032182C" w:rsidRPr="0032182C" w:rsidRDefault="0032182C" w:rsidP="001D6290">
            <w:pPr>
              <w:spacing w:after="0" w:line="240" w:lineRule="auto"/>
              <w:ind w:left="57" w:firstLine="57"/>
              <w:jc w:val="both"/>
              <w:rPr>
                <w:rFonts w:ascii="Verdana" w:eastAsia="Times New Roman" w:hAnsi="Verdana"/>
                <w:sz w:val="20"/>
              </w:rPr>
            </w:pPr>
            <w:r>
              <w:rPr>
                <w:rFonts w:ascii="Verdana" w:hAnsi="Verdana"/>
                <w:sz w:val="20"/>
              </w:rPr>
              <w:t>Number of PSPs from different EEA countries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7C9114"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D69E76"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89D875"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19</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41ADD5"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19</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B6C076"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20</w:t>
            </w:r>
          </w:p>
        </w:tc>
      </w:tr>
      <w:tr w:rsidR="0032182C" w:rsidRPr="0032182C" w14:paraId="1FB1BF54"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8126E0" w14:textId="77777777" w:rsidR="0032182C" w:rsidRPr="0032182C" w:rsidRDefault="0032182C" w:rsidP="001D6290">
            <w:pPr>
              <w:spacing w:after="0" w:line="240" w:lineRule="auto"/>
              <w:ind w:left="57" w:firstLine="57"/>
              <w:jc w:val="both"/>
              <w:rPr>
                <w:rFonts w:ascii="Verdana" w:eastAsia="Times New Roman" w:hAnsi="Verdana"/>
                <w:sz w:val="20"/>
              </w:rPr>
            </w:pPr>
            <w:r>
              <w:rPr>
                <w:rFonts w:ascii="Verdana" w:hAnsi="Verdana"/>
                <w:sz w:val="20"/>
              </w:rPr>
              <w:t>Total number of payments, million</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BD3F5C"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95.2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347A0C"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186.1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3AFF18"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276.3</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59024C"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228.5</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BA21DC"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294.6</w:t>
            </w:r>
          </w:p>
        </w:tc>
      </w:tr>
      <w:tr w:rsidR="0032182C" w:rsidRPr="0032182C" w14:paraId="00D31945"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05BB28" w14:textId="77777777" w:rsidR="0032182C" w:rsidRPr="0032182C" w:rsidRDefault="0032182C" w:rsidP="001D6290">
            <w:pPr>
              <w:spacing w:after="0" w:line="240" w:lineRule="auto"/>
              <w:ind w:left="57" w:firstLine="57"/>
              <w:jc w:val="both"/>
              <w:rPr>
                <w:rFonts w:ascii="Verdana" w:eastAsia="Times New Roman" w:hAnsi="Verdana"/>
                <w:sz w:val="20"/>
              </w:rPr>
            </w:pPr>
            <w:r>
              <w:rPr>
                <w:rFonts w:ascii="Verdana" w:hAnsi="Verdana"/>
                <w:sz w:val="20"/>
              </w:rPr>
              <w:t>Total value of payments, billion EUR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14:paraId="53E9A580"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168.8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14:paraId="457F13A4"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358.2</w:t>
            </w:r>
          </w:p>
        </w:tc>
        <w:tc>
          <w:tcPr>
            <w:tcW w:w="1134" w:type="dxa"/>
            <w:tcBorders>
              <w:top w:val="outset" w:sz="6" w:space="0" w:color="auto"/>
              <w:left w:val="outset" w:sz="6" w:space="0" w:color="auto"/>
              <w:bottom w:val="outset" w:sz="6" w:space="0" w:color="auto"/>
              <w:right w:val="outset" w:sz="6" w:space="0" w:color="auto"/>
            </w:tcBorders>
            <w:shd w:val="clear" w:color="auto" w:fill="FFFFFF"/>
            <w:hideMark/>
          </w:tcPr>
          <w:p w14:paraId="37214E59"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476.7</w:t>
            </w:r>
          </w:p>
        </w:tc>
        <w:tc>
          <w:tcPr>
            <w:tcW w:w="1134" w:type="dxa"/>
            <w:tcBorders>
              <w:top w:val="outset" w:sz="6" w:space="0" w:color="auto"/>
              <w:left w:val="outset" w:sz="6" w:space="0" w:color="auto"/>
              <w:bottom w:val="outset" w:sz="6" w:space="0" w:color="auto"/>
              <w:right w:val="outset" w:sz="6" w:space="0" w:color="auto"/>
            </w:tcBorders>
            <w:shd w:val="clear" w:color="auto" w:fill="FFFFFF"/>
            <w:hideMark/>
          </w:tcPr>
          <w:p w14:paraId="13C78905"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456.2</w:t>
            </w:r>
          </w:p>
        </w:tc>
        <w:tc>
          <w:tcPr>
            <w:tcW w:w="1102" w:type="dxa"/>
            <w:tcBorders>
              <w:top w:val="outset" w:sz="6" w:space="0" w:color="auto"/>
              <w:left w:val="outset" w:sz="6" w:space="0" w:color="auto"/>
              <w:bottom w:val="outset" w:sz="6" w:space="0" w:color="auto"/>
              <w:right w:val="outset" w:sz="6" w:space="0" w:color="auto"/>
            </w:tcBorders>
            <w:shd w:val="clear" w:color="auto" w:fill="FFFFFF"/>
            <w:hideMark/>
          </w:tcPr>
          <w:p w14:paraId="68E052BD" w14:textId="77777777" w:rsidR="0032182C" w:rsidRPr="0032182C" w:rsidRDefault="0032182C" w:rsidP="00E04B64">
            <w:pPr>
              <w:spacing w:after="0" w:line="240" w:lineRule="auto"/>
              <w:ind w:left="-142"/>
              <w:jc w:val="center"/>
              <w:rPr>
                <w:rFonts w:ascii="Verdana" w:eastAsia="Times New Roman" w:hAnsi="Verdana"/>
                <w:sz w:val="20"/>
              </w:rPr>
            </w:pPr>
            <w:r>
              <w:rPr>
                <w:rFonts w:ascii="Verdana" w:hAnsi="Verdana"/>
                <w:sz w:val="20"/>
              </w:rPr>
              <w:t>620.0</w:t>
            </w:r>
          </w:p>
        </w:tc>
      </w:tr>
    </w:tbl>
    <w:p w14:paraId="049484A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The largest single payment value over the last 12 months:</w:t>
      </w:r>
    </w:p>
    <w:p w14:paraId="50B175A6"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sent: EUR 150 million;</w:t>
      </w:r>
    </w:p>
    <w:p w14:paraId="42FB34A0"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received: EUR 88.8 million.</w:t>
      </w:r>
    </w:p>
    <w:p w14:paraId="3A1EB75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Average single payment value over the last 12 months: EUR 2,105.</w:t>
      </w:r>
    </w:p>
    <w:p w14:paraId="476D5170"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Number of employees working with the CENTROlink system – 50, including:</w:t>
      </w:r>
    </w:p>
    <w:p w14:paraId="47DA09AF"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System administrators;</w:t>
      </w:r>
    </w:p>
    <w:p w14:paraId="12B249CE"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Customer service specialists;</w:t>
      </w:r>
    </w:p>
    <w:p w14:paraId="5CC62566"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Analysts;</w:t>
      </w:r>
    </w:p>
    <w:p w14:paraId="3895916C"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Integration specialists;</w:t>
      </w:r>
    </w:p>
    <w:p w14:paraId="5CF8AE21"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IT specialists;</w:t>
      </w:r>
    </w:p>
    <w:p w14:paraId="4B3D1648"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Lawyers;</w:t>
      </w:r>
    </w:p>
    <w:p w14:paraId="018CB063"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Managers;</w:t>
      </w:r>
    </w:p>
    <w:p w14:paraId="0D576C7B"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rPr>
      </w:pPr>
      <w:r>
        <w:rPr>
          <w:rFonts w:ascii="Verdana" w:hAnsi="Verdana"/>
          <w:sz w:val="20"/>
        </w:rPr>
        <w:t>And other employees involved in the operation of the system.</w:t>
      </w:r>
    </w:p>
    <w:p w14:paraId="6DE96C18" w14:textId="77777777" w:rsidR="0032182C" w:rsidRPr="0032182C" w:rsidRDefault="0032182C" w:rsidP="001D6290">
      <w:pPr>
        <w:spacing w:after="0" w:line="240" w:lineRule="auto"/>
        <w:ind w:left="-142"/>
        <w:jc w:val="both"/>
        <w:rPr>
          <w:rFonts w:ascii="Verdana" w:eastAsia="Times New Roman" w:hAnsi="Verdana"/>
          <w:sz w:val="20"/>
        </w:rPr>
      </w:pPr>
    </w:p>
    <w:p w14:paraId="2EE4D004"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rPr>
      </w:pPr>
      <w:r>
        <w:rPr>
          <w:rFonts w:ascii="Verdana" w:hAnsi="Verdana"/>
          <w:b/>
          <w:sz w:val="20"/>
        </w:rPr>
        <w:t>Policyholder.</w:t>
      </w:r>
      <w:r>
        <w:rPr>
          <w:rFonts w:ascii="Verdana" w:hAnsi="Verdana"/>
          <w:sz w:val="20"/>
        </w:rPr>
        <w:t xml:space="preserve"> </w:t>
      </w:r>
    </w:p>
    <w:p w14:paraId="1B0CEBEB"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Policyholder: Lietuvos </w:t>
      </w:r>
      <w:proofErr w:type="spellStart"/>
      <w:r>
        <w:rPr>
          <w:rFonts w:ascii="Verdana" w:hAnsi="Verdana"/>
          <w:sz w:val="20"/>
        </w:rPr>
        <w:t>bankas</w:t>
      </w:r>
      <w:proofErr w:type="spellEnd"/>
      <w:r>
        <w:rPr>
          <w:rFonts w:ascii="Verdana" w:hAnsi="Verdana"/>
          <w:sz w:val="20"/>
        </w:rPr>
        <w:t xml:space="preserve"> (</w:t>
      </w:r>
      <w:proofErr w:type="spellStart"/>
      <w:r>
        <w:rPr>
          <w:rFonts w:ascii="Verdana" w:hAnsi="Verdana"/>
          <w:sz w:val="20"/>
        </w:rPr>
        <w:t>Gedimino</w:t>
      </w:r>
      <w:proofErr w:type="spellEnd"/>
      <w:r>
        <w:rPr>
          <w:rFonts w:ascii="Verdana" w:hAnsi="Verdana"/>
          <w:sz w:val="20"/>
        </w:rPr>
        <w:t xml:space="preserve"> pr. 6, LT-01103, Vilnius).</w:t>
      </w:r>
    </w:p>
    <w:p w14:paraId="59C34E44"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349E73E0"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rPr>
      </w:pPr>
      <w:r>
        <w:rPr>
          <w:rFonts w:ascii="Verdana" w:hAnsi="Verdana"/>
          <w:b/>
          <w:sz w:val="20"/>
        </w:rPr>
        <w:t>Insurance period.</w:t>
      </w:r>
    </w:p>
    <w:p w14:paraId="3DD024CD"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lastRenderedPageBreak/>
        <w:t>The insurance must be valid for 12 months of the effective date of the contract.</w:t>
      </w:r>
    </w:p>
    <w:p w14:paraId="7520B0C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The period of validity of the insurance policy is from the effective date of the contract until the expiry of the 12-month period.</w:t>
      </w:r>
    </w:p>
    <w:p w14:paraId="022B8AA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The effective date of the insurance is the effective date of the contract.</w:t>
      </w:r>
    </w:p>
    <w:p w14:paraId="5B721A87" w14:textId="77777777" w:rsidR="0032182C" w:rsidRPr="0032182C" w:rsidRDefault="0032182C" w:rsidP="001D6290">
      <w:pPr>
        <w:numPr>
          <w:ilvl w:val="1"/>
          <w:numId w:val="66"/>
        </w:numPr>
        <w:tabs>
          <w:tab w:val="left" w:pos="426"/>
          <w:tab w:val="left" w:pos="567"/>
          <w:tab w:val="left" w:pos="710"/>
          <w:tab w:val="left" w:pos="1276"/>
          <w:tab w:val="left" w:pos="1418"/>
        </w:tabs>
        <w:spacing w:after="0" w:line="240" w:lineRule="auto"/>
        <w:ind w:left="-142" w:firstLine="0"/>
        <w:jc w:val="both"/>
        <w:rPr>
          <w:rFonts w:ascii="Verdana" w:eastAsia="Times New Roman" w:hAnsi="Verdana"/>
          <w:sz w:val="20"/>
        </w:rPr>
      </w:pPr>
      <w:r>
        <w:rPr>
          <w:rFonts w:ascii="Verdana" w:hAnsi="Verdana"/>
          <w:sz w:val="20"/>
        </w:rPr>
        <w:t>The Insurer must provide the policyholder with a valid insurance policy within five (5) working days of the effective date of the contract. The provisions of the insurance policy must not contradict the provisions of the contract.</w:t>
      </w:r>
    </w:p>
    <w:p w14:paraId="4370974B" w14:textId="77777777" w:rsidR="0032182C" w:rsidRPr="0032182C" w:rsidRDefault="0032182C" w:rsidP="001D6290">
      <w:pPr>
        <w:spacing w:after="0" w:line="240" w:lineRule="auto"/>
        <w:ind w:left="-142"/>
        <w:jc w:val="both"/>
        <w:rPr>
          <w:rFonts w:ascii="Verdana" w:eastAsia="Times New Roman" w:hAnsi="Verdana"/>
          <w:sz w:val="20"/>
        </w:rPr>
      </w:pPr>
    </w:p>
    <w:p w14:paraId="5168F874"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rPr>
      </w:pPr>
      <w:r>
        <w:rPr>
          <w:rFonts w:ascii="Verdana" w:hAnsi="Verdana"/>
          <w:b/>
          <w:sz w:val="20"/>
        </w:rPr>
        <w:t>Territory and applicable law.</w:t>
      </w:r>
    </w:p>
    <w:p w14:paraId="43105CA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Insurance coverage must be valid worldwide.</w:t>
      </w:r>
    </w:p>
    <w:p w14:paraId="65C006DA"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The applicable law is law of the Republic of Lithuania.</w:t>
      </w:r>
    </w:p>
    <w:p w14:paraId="12D3C745" w14:textId="77777777" w:rsidR="0032182C" w:rsidRPr="0032182C" w:rsidRDefault="0032182C" w:rsidP="001D6290">
      <w:pPr>
        <w:spacing w:after="0" w:line="240" w:lineRule="auto"/>
        <w:ind w:left="-142"/>
        <w:jc w:val="both"/>
        <w:rPr>
          <w:rFonts w:ascii="Verdana" w:eastAsia="Times New Roman" w:hAnsi="Verdana"/>
          <w:sz w:val="20"/>
        </w:rPr>
      </w:pPr>
    </w:p>
    <w:p w14:paraId="61904F06"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rPr>
      </w:pPr>
      <w:r>
        <w:rPr>
          <w:rFonts w:ascii="Verdana" w:hAnsi="Verdana"/>
          <w:b/>
          <w:sz w:val="20"/>
        </w:rPr>
        <w:t>Types and amounts of insurance.</w:t>
      </w:r>
    </w:p>
    <w:p w14:paraId="7834726B"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Total insurance amount during the term of the insurance contract – </w:t>
      </w:r>
      <w:r>
        <w:rPr>
          <w:rFonts w:ascii="Verdana" w:hAnsi="Verdana"/>
          <w:b/>
          <w:bCs/>
          <w:sz w:val="20"/>
        </w:rPr>
        <w:t>EUR 1,000,000</w:t>
      </w:r>
      <w:r>
        <w:rPr>
          <w:rFonts w:ascii="Verdana" w:hAnsi="Verdana"/>
          <w:sz w:val="20"/>
        </w:rPr>
        <w:t xml:space="preserve"> (including expenses and costs) </w:t>
      </w:r>
    </w:p>
    <w:p w14:paraId="0F165987"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Professional indemnity – </w:t>
      </w:r>
      <w:r>
        <w:rPr>
          <w:rFonts w:ascii="Verdana" w:hAnsi="Verdana"/>
          <w:b/>
          <w:bCs/>
          <w:sz w:val="20"/>
        </w:rPr>
        <w:t>EUR 1,000,000</w:t>
      </w:r>
      <w:r>
        <w:rPr>
          <w:rFonts w:ascii="Verdana" w:hAnsi="Verdana"/>
          <w:sz w:val="20"/>
        </w:rPr>
        <w:t xml:space="preserve"> (total amount, including expenses and costs).</w:t>
      </w:r>
    </w:p>
    <w:p w14:paraId="67753DD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Insurance against cyber risks:</w:t>
      </w:r>
    </w:p>
    <w:p w14:paraId="17D1A0D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Expenses due to malicious cyber activities – </w:t>
      </w:r>
      <w:r>
        <w:rPr>
          <w:rFonts w:ascii="Verdana" w:hAnsi="Verdana"/>
          <w:b/>
          <w:bCs/>
          <w:sz w:val="20"/>
        </w:rPr>
        <w:t>EUR 1,000,000</w:t>
      </w:r>
      <w:r>
        <w:rPr>
          <w:rFonts w:ascii="Verdana" w:hAnsi="Verdana"/>
          <w:sz w:val="20"/>
        </w:rPr>
        <w:t xml:space="preserve"> (total amount, including expenses and costs).</w:t>
      </w:r>
    </w:p>
    <w:p w14:paraId="6013519C"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CENTROlink System and data recovery expenses – </w:t>
      </w:r>
      <w:r>
        <w:rPr>
          <w:rFonts w:ascii="Verdana" w:hAnsi="Verdana"/>
          <w:b/>
          <w:sz w:val="20"/>
        </w:rPr>
        <w:t>EUR 1,000,000</w:t>
      </w:r>
      <w:r>
        <w:rPr>
          <w:rFonts w:ascii="Verdana" w:hAnsi="Verdana"/>
          <w:sz w:val="20"/>
        </w:rPr>
        <w:t xml:space="preserve"> </w:t>
      </w:r>
      <w:bookmarkStart w:id="22" w:name="_Hlk211343700"/>
      <w:r>
        <w:rPr>
          <w:rFonts w:ascii="Verdana" w:hAnsi="Verdana"/>
          <w:sz w:val="20"/>
        </w:rPr>
        <w:t>(total amount, including expenses and costs).</w:t>
      </w:r>
      <w:bookmarkEnd w:id="22"/>
    </w:p>
    <w:p w14:paraId="602EA5C9" w14:textId="77777777" w:rsidR="0032182C" w:rsidRPr="0032182C" w:rsidRDefault="0032182C" w:rsidP="001D6290">
      <w:pPr>
        <w:pStyle w:val="ListParagraph"/>
        <w:numPr>
          <w:ilvl w:val="2"/>
          <w:numId w:val="66"/>
        </w:numPr>
        <w:spacing w:after="0"/>
        <w:ind w:left="-142" w:firstLine="0"/>
        <w:contextualSpacing w:val="0"/>
        <w:rPr>
          <w:rFonts w:ascii="Verdana" w:eastAsia="Times New Roman" w:hAnsi="Verdana"/>
          <w:sz w:val="20"/>
          <w:szCs w:val="20"/>
        </w:rPr>
      </w:pPr>
      <w:r>
        <w:rPr>
          <w:rFonts w:ascii="Verdana" w:hAnsi="Verdana"/>
          <w:sz w:val="20"/>
        </w:rPr>
        <w:t xml:space="preserve">Investigations/fines by regulatory authorities – </w:t>
      </w:r>
      <w:r>
        <w:rPr>
          <w:rFonts w:ascii="Verdana" w:hAnsi="Verdana"/>
          <w:b/>
          <w:bCs/>
          <w:sz w:val="20"/>
        </w:rPr>
        <w:t>EUR 250,000</w:t>
      </w:r>
      <w:r>
        <w:rPr>
          <w:rFonts w:ascii="Verdana" w:hAnsi="Verdana"/>
          <w:sz w:val="20"/>
        </w:rPr>
        <w:t xml:space="preserve"> (total amount, including expenses and costs).</w:t>
      </w:r>
    </w:p>
    <w:p w14:paraId="789B013C" w14:textId="77777777" w:rsidR="0032182C" w:rsidRPr="0032182C" w:rsidRDefault="0032182C" w:rsidP="001D6290">
      <w:pPr>
        <w:pStyle w:val="ListParagraph"/>
        <w:numPr>
          <w:ilvl w:val="2"/>
          <w:numId w:val="66"/>
        </w:numPr>
        <w:spacing w:after="0"/>
        <w:ind w:left="-142" w:firstLine="0"/>
        <w:contextualSpacing w:val="0"/>
        <w:rPr>
          <w:rFonts w:ascii="Verdana" w:eastAsia="Times New Roman" w:hAnsi="Verdana"/>
          <w:sz w:val="20"/>
          <w:szCs w:val="20"/>
        </w:rPr>
      </w:pPr>
      <w:r>
        <w:rPr>
          <w:rFonts w:ascii="Verdana" w:hAnsi="Verdana"/>
          <w:sz w:val="20"/>
        </w:rPr>
        <w:t xml:space="preserve">Telephone fraud – </w:t>
      </w:r>
      <w:r>
        <w:rPr>
          <w:rFonts w:ascii="Verdana" w:hAnsi="Verdana"/>
          <w:b/>
          <w:bCs/>
          <w:sz w:val="20"/>
        </w:rPr>
        <w:t>EUR 50,000</w:t>
      </w:r>
      <w:r>
        <w:rPr>
          <w:rFonts w:ascii="Verdana" w:hAnsi="Verdana"/>
          <w:sz w:val="20"/>
        </w:rPr>
        <w:t xml:space="preserve"> (total amount, including expenses and costs).</w:t>
      </w:r>
    </w:p>
    <w:p w14:paraId="6D8B463E"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Additional sub-limits:</w:t>
      </w:r>
    </w:p>
    <w:p w14:paraId="1312A4A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Compensation for attending court hearings – </w:t>
      </w:r>
      <w:r>
        <w:rPr>
          <w:rFonts w:ascii="Verdana" w:hAnsi="Verdana"/>
          <w:b/>
          <w:bCs/>
          <w:sz w:val="20"/>
        </w:rPr>
        <w:t>EUR 25,000</w:t>
      </w:r>
      <w:r>
        <w:rPr>
          <w:rFonts w:ascii="Verdana" w:hAnsi="Verdana"/>
          <w:sz w:val="20"/>
        </w:rPr>
        <w:t xml:space="preserve"> (total amount).</w:t>
      </w:r>
    </w:p>
    <w:p w14:paraId="4D432BFA"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Crisis management costs – </w:t>
      </w:r>
      <w:r>
        <w:rPr>
          <w:rFonts w:ascii="Verdana" w:hAnsi="Verdana"/>
          <w:b/>
          <w:bCs/>
          <w:sz w:val="20"/>
        </w:rPr>
        <w:t>EUR 250,000</w:t>
      </w:r>
      <w:r>
        <w:rPr>
          <w:rFonts w:ascii="Verdana" w:hAnsi="Verdana"/>
          <w:sz w:val="20"/>
        </w:rPr>
        <w:t xml:space="preserve"> (total amount).</w:t>
      </w:r>
    </w:p>
    <w:p w14:paraId="24FAEE1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Emergency loss mitigation costs – </w:t>
      </w:r>
      <w:r>
        <w:rPr>
          <w:rFonts w:ascii="Verdana" w:hAnsi="Verdana"/>
          <w:b/>
          <w:bCs/>
          <w:sz w:val="20"/>
        </w:rPr>
        <w:t>EUR 100,000</w:t>
      </w:r>
      <w:r>
        <w:rPr>
          <w:rFonts w:ascii="Verdana" w:hAnsi="Verdana"/>
          <w:sz w:val="20"/>
        </w:rPr>
        <w:t xml:space="preserve"> (total amount).</w:t>
      </w:r>
    </w:p>
    <w:p w14:paraId="498C9AC8"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Public relations services – </w:t>
      </w:r>
      <w:r>
        <w:rPr>
          <w:rFonts w:ascii="Verdana" w:hAnsi="Verdana"/>
          <w:b/>
          <w:bCs/>
          <w:sz w:val="20"/>
        </w:rPr>
        <w:t>EUR 100,000</w:t>
      </w:r>
      <w:r>
        <w:rPr>
          <w:rFonts w:ascii="Verdana" w:hAnsi="Verdana"/>
          <w:sz w:val="20"/>
        </w:rPr>
        <w:t xml:space="preserve"> (total amount).</w:t>
      </w:r>
    </w:p>
    <w:p w14:paraId="321ACDDD"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49585DA5"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rPr>
      </w:pPr>
      <w:r>
        <w:rPr>
          <w:rFonts w:ascii="Verdana" w:hAnsi="Verdana"/>
          <w:b/>
          <w:sz w:val="20"/>
        </w:rPr>
        <w:t>Franchise (deductible).</w:t>
      </w:r>
    </w:p>
    <w:p w14:paraId="5E0D4BE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In the event of an insured event, the fixed deductible shall not exceed:</w:t>
      </w:r>
    </w:p>
    <w:p w14:paraId="3F26736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Professional indemnity – </w:t>
      </w:r>
      <w:r>
        <w:rPr>
          <w:rFonts w:ascii="Verdana" w:hAnsi="Verdana"/>
          <w:b/>
          <w:bCs/>
          <w:sz w:val="20"/>
        </w:rPr>
        <w:t>EUR 75,000</w:t>
      </w:r>
      <w:r>
        <w:rPr>
          <w:rFonts w:ascii="Verdana" w:hAnsi="Verdana"/>
          <w:sz w:val="20"/>
        </w:rPr>
        <w:t>.</w:t>
      </w:r>
    </w:p>
    <w:p w14:paraId="4126FC8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Insurance against cyber risks – </w:t>
      </w:r>
      <w:r>
        <w:rPr>
          <w:rFonts w:ascii="Verdana" w:hAnsi="Verdana"/>
          <w:b/>
          <w:bCs/>
          <w:sz w:val="20"/>
        </w:rPr>
        <w:t>EUR 75,000</w:t>
      </w:r>
      <w:r>
        <w:rPr>
          <w:rFonts w:ascii="Verdana" w:hAnsi="Verdana"/>
          <w:sz w:val="20"/>
        </w:rPr>
        <w:t>.</w:t>
      </w:r>
    </w:p>
    <w:p w14:paraId="0FB1CDE3"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33343BF5"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rPr>
      </w:pPr>
      <w:r>
        <w:rPr>
          <w:rFonts w:ascii="Verdana" w:hAnsi="Verdana"/>
          <w:b/>
          <w:sz w:val="20"/>
        </w:rPr>
        <w:t>Professional indemnity insurance.</w:t>
      </w:r>
    </w:p>
    <w:p w14:paraId="75ECEC35" w14:textId="4963B6A6"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The Insurer shall, in accordance with the terms and conditions, limitations, exceptions and provisions of this contract, to pay on behalf of the Policyholder the liability and legal costs of any claim related to the operation of the CENTROlink System and the professional activities of employees, which is first made and reported during the insurance period. Insurance coverage applies to claims arising from an actual or alleged insured event:</w:t>
      </w:r>
    </w:p>
    <w:p w14:paraId="1D2EB507"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Negligence or breach of professional duty;</w:t>
      </w:r>
    </w:p>
    <w:p w14:paraId="23E3861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Providing false information or misrepresentation due to negligence;</w:t>
      </w:r>
    </w:p>
    <w:p w14:paraId="6A9CE5B1"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Breach of duty of care, confidentiality or privacy rights;</w:t>
      </w:r>
    </w:p>
    <w:p w14:paraId="2024AB5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bookmarkStart w:id="23" w:name="_Hlk212537271"/>
      <w:r>
        <w:rPr>
          <w:rFonts w:ascii="Verdana" w:hAnsi="Verdana"/>
          <w:sz w:val="20"/>
        </w:rPr>
        <w:t>Data security breach, loss of information or documents</w:t>
      </w:r>
      <w:bookmarkEnd w:id="23"/>
      <w:r>
        <w:rPr>
          <w:rFonts w:ascii="Verdana" w:hAnsi="Verdana"/>
          <w:sz w:val="20"/>
        </w:rPr>
        <w:t>, unlawful disclosure, alteration or breach of accessibility (availability);</w:t>
      </w:r>
    </w:p>
    <w:p w14:paraId="39CEF67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Infringement of intellectual property rights;</w:t>
      </w:r>
    </w:p>
    <w:p w14:paraId="53D2DBDF"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Defamation or insult;</w:t>
      </w:r>
    </w:p>
    <w:p w14:paraId="5B49D845"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Employee dishonesty;</w:t>
      </w:r>
    </w:p>
    <w:p w14:paraId="3AFABC3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Negligent acts or omissions of service providers that resulted in the above cases;</w:t>
      </w:r>
    </w:p>
    <w:p w14:paraId="40143C9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rPr>
      </w:pPr>
      <w:r>
        <w:rPr>
          <w:rFonts w:ascii="Verdana" w:hAnsi="Verdana"/>
          <w:sz w:val="20"/>
        </w:rPr>
        <w:t>Third-party liability (including liability arising from CENTROlink operational incidents) not listed in the above points.</w:t>
      </w:r>
    </w:p>
    <w:p w14:paraId="63652AD2" w14:textId="77777777" w:rsidR="0032182C" w:rsidRPr="0032182C" w:rsidRDefault="0032182C" w:rsidP="001D6290">
      <w:pPr>
        <w:pStyle w:val="ListParagraph"/>
        <w:spacing w:after="0" w:line="240" w:lineRule="auto"/>
        <w:ind w:left="-142"/>
        <w:jc w:val="both"/>
        <w:outlineLvl w:val="2"/>
        <w:rPr>
          <w:rFonts w:ascii="Verdana" w:eastAsia="Times New Roman" w:hAnsi="Verdana"/>
          <w:sz w:val="20"/>
          <w:szCs w:val="20"/>
          <w:lang w:val="lt-LT" w:eastAsia="lt-LT"/>
        </w:rPr>
      </w:pPr>
    </w:p>
    <w:p w14:paraId="3B289C72" w14:textId="77777777" w:rsidR="0032182C" w:rsidRPr="0032182C" w:rsidRDefault="0032182C" w:rsidP="001D6290">
      <w:pPr>
        <w:pStyle w:val="ListParagraph"/>
        <w:numPr>
          <w:ilvl w:val="0"/>
          <w:numId w:val="66"/>
        </w:numPr>
        <w:spacing w:after="0" w:line="240" w:lineRule="auto"/>
        <w:ind w:left="-142" w:firstLine="0"/>
        <w:jc w:val="both"/>
        <w:outlineLvl w:val="2"/>
        <w:rPr>
          <w:rFonts w:ascii="Verdana" w:eastAsia="Times New Roman" w:hAnsi="Verdana"/>
          <w:b/>
          <w:bCs/>
          <w:sz w:val="20"/>
          <w:szCs w:val="20"/>
        </w:rPr>
      </w:pPr>
      <w:r>
        <w:rPr>
          <w:rFonts w:ascii="Verdana" w:hAnsi="Verdana"/>
          <w:b/>
          <w:sz w:val="20"/>
        </w:rPr>
        <w:t>Insurance against cyber risks.</w:t>
      </w:r>
    </w:p>
    <w:p w14:paraId="2006994F" w14:textId="77777777" w:rsidR="0032182C" w:rsidRPr="0032182C" w:rsidRDefault="0032182C" w:rsidP="001D6290">
      <w:pPr>
        <w:pStyle w:val="ListParagraph"/>
        <w:numPr>
          <w:ilvl w:val="1"/>
          <w:numId w:val="66"/>
        </w:numPr>
        <w:spacing w:after="0" w:line="240" w:lineRule="auto"/>
        <w:ind w:left="-142" w:firstLine="0"/>
        <w:jc w:val="both"/>
        <w:outlineLvl w:val="2"/>
        <w:rPr>
          <w:rFonts w:ascii="Verdana" w:eastAsia="Times New Roman" w:hAnsi="Verdana"/>
          <w:sz w:val="20"/>
          <w:szCs w:val="20"/>
        </w:rPr>
      </w:pPr>
      <w:r>
        <w:rPr>
          <w:rFonts w:ascii="Verdana" w:hAnsi="Verdana"/>
          <w:sz w:val="20"/>
        </w:rPr>
        <w:t>The Insurer must compensate for losses and expenses arising from:</w:t>
      </w:r>
    </w:p>
    <w:p w14:paraId="383421A6" w14:textId="77777777" w:rsidR="0032182C" w:rsidRPr="0032182C" w:rsidRDefault="0032182C" w:rsidP="001D6290">
      <w:pPr>
        <w:pStyle w:val="ListParagraph"/>
        <w:numPr>
          <w:ilvl w:val="2"/>
          <w:numId w:val="66"/>
        </w:numPr>
        <w:spacing w:after="0" w:line="240" w:lineRule="auto"/>
        <w:ind w:left="-142" w:firstLine="0"/>
        <w:jc w:val="both"/>
        <w:outlineLvl w:val="2"/>
        <w:rPr>
          <w:rFonts w:ascii="Verdana" w:eastAsia="Times New Roman" w:hAnsi="Verdana"/>
          <w:sz w:val="20"/>
          <w:szCs w:val="20"/>
        </w:rPr>
      </w:pPr>
      <w:r>
        <w:rPr>
          <w:rFonts w:ascii="Verdana" w:hAnsi="Verdana"/>
          <w:sz w:val="20"/>
        </w:rPr>
        <w:t>Malicious cyber activities;</w:t>
      </w:r>
    </w:p>
    <w:p w14:paraId="42FBAEC0" w14:textId="77777777" w:rsidR="0032182C" w:rsidRPr="0032182C" w:rsidRDefault="0032182C" w:rsidP="001D6290">
      <w:pPr>
        <w:pStyle w:val="ListParagraph"/>
        <w:numPr>
          <w:ilvl w:val="2"/>
          <w:numId w:val="66"/>
        </w:numPr>
        <w:spacing w:after="0" w:line="240" w:lineRule="auto"/>
        <w:ind w:left="-142" w:firstLine="0"/>
        <w:jc w:val="both"/>
        <w:outlineLvl w:val="2"/>
        <w:rPr>
          <w:rFonts w:ascii="Verdana" w:eastAsia="Times New Roman" w:hAnsi="Verdana"/>
          <w:sz w:val="20"/>
          <w:szCs w:val="20"/>
        </w:rPr>
      </w:pPr>
      <w:r>
        <w:rPr>
          <w:rFonts w:ascii="Verdana" w:hAnsi="Verdana"/>
          <w:sz w:val="20"/>
        </w:rPr>
        <w:t>CENTROlink System and data recovery;</w:t>
      </w:r>
    </w:p>
    <w:p w14:paraId="4C6BE699" w14:textId="77777777" w:rsidR="0032182C" w:rsidRPr="0032182C" w:rsidRDefault="0032182C" w:rsidP="0032182C">
      <w:pPr>
        <w:pStyle w:val="ListParagraph"/>
        <w:numPr>
          <w:ilvl w:val="2"/>
          <w:numId w:val="66"/>
        </w:numPr>
        <w:spacing w:after="0" w:line="240" w:lineRule="auto"/>
        <w:jc w:val="both"/>
        <w:outlineLvl w:val="2"/>
        <w:rPr>
          <w:rFonts w:ascii="Verdana" w:eastAsia="Times New Roman" w:hAnsi="Verdana"/>
          <w:sz w:val="20"/>
          <w:szCs w:val="20"/>
        </w:rPr>
      </w:pPr>
      <w:r>
        <w:rPr>
          <w:rFonts w:ascii="Verdana" w:hAnsi="Verdana"/>
          <w:sz w:val="20"/>
        </w:rPr>
        <w:t>Investigations/fines by regulatory authorities;</w:t>
      </w:r>
    </w:p>
    <w:p w14:paraId="627A562B" w14:textId="77777777" w:rsidR="0032182C" w:rsidRPr="0032182C" w:rsidRDefault="0032182C" w:rsidP="0032182C">
      <w:pPr>
        <w:pStyle w:val="ListParagraph"/>
        <w:numPr>
          <w:ilvl w:val="2"/>
          <w:numId w:val="66"/>
        </w:numPr>
        <w:spacing w:after="0" w:line="240" w:lineRule="auto"/>
        <w:jc w:val="both"/>
        <w:outlineLvl w:val="2"/>
        <w:rPr>
          <w:rFonts w:ascii="Verdana" w:eastAsia="Times New Roman" w:hAnsi="Verdana"/>
          <w:sz w:val="20"/>
          <w:szCs w:val="20"/>
        </w:rPr>
      </w:pPr>
      <w:r>
        <w:rPr>
          <w:rFonts w:ascii="Verdana" w:hAnsi="Verdana"/>
          <w:sz w:val="20"/>
        </w:rPr>
        <w:t>Telephone fraud.</w:t>
      </w:r>
    </w:p>
    <w:p w14:paraId="0A48A09E" w14:textId="77777777" w:rsidR="0032182C" w:rsidRPr="0032182C" w:rsidRDefault="0032182C" w:rsidP="0032182C">
      <w:pPr>
        <w:pStyle w:val="ListParagraph"/>
        <w:spacing w:after="0" w:line="240" w:lineRule="auto"/>
        <w:ind w:left="0"/>
        <w:jc w:val="both"/>
        <w:rPr>
          <w:rFonts w:ascii="Verdana" w:eastAsia="Times New Roman" w:hAnsi="Verdana"/>
          <w:sz w:val="20"/>
          <w:szCs w:val="20"/>
          <w:lang w:val="lt-LT" w:eastAsia="lt-LT"/>
        </w:rPr>
      </w:pPr>
    </w:p>
    <w:p w14:paraId="1F467D94"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rPr>
      </w:pPr>
      <w:r>
        <w:rPr>
          <w:rFonts w:ascii="Verdana" w:hAnsi="Verdana"/>
          <w:b/>
          <w:sz w:val="20"/>
        </w:rPr>
        <w:t>Procedure for payment of insurance claims.</w:t>
      </w:r>
    </w:p>
    <w:p w14:paraId="6E4C68B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The Insurer must pay the insurance claim no later than within 30 calendar days of the receipt of the Policyholder’s written notification of the insured event.</w:t>
      </w:r>
    </w:p>
    <w:p w14:paraId="045AE990"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2EBEF721"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rPr>
      </w:pPr>
      <w:r>
        <w:rPr>
          <w:rFonts w:ascii="Verdana" w:hAnsi="Verdana"/>
          <w:b/>
          <w:sz w:val="20"/>
        </w:rPr>
        <w:t>Insurance conditions and restrictions.</w:t>
      </w:r>
    </w:p>
    <w:p w14:paraId="6F1B8135"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Insurance conditions and definitions may differ from those specified in this specification, but alternative offers may not be narrower in scope.</w:t>
      </w:r>
    </w:p>
    <w:p w14:paraId="0D38AE64"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In the event of any conflict between the terms of the contract and the provisions of the insurance rules approved by the Policyholder (according to the types of insurance), the provisions of the contract shall prevail. Conditions not specified in the contract shall be governed by the provisions of the relevant insurance rules.</w:t>
      </w:r>
    </w:p>
    <w:p w14:paraId="5286E79A"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Any ambiguities in the terms and conditions of the contract shall be interpreted in favour of the Policyholder.</w:t>
      </w:r>
    </w:p>
    <w:p w14:paraId="1C6FDE68"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The insurance contract shall apply in addition to any other valid insurance available to the Policyholder. The insurance contract shall also apply in addition to any other possible compensation for losses available to the Policyholder.</w:t>
      </w:r>
    </w:p>
    <w:p w14:paraId="0AB3FEFF"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rPr>
      </w:pPr>
      <w:r>
        <w:rPr>
          <w:rFonts w:ascii="Verdana" w:hAnsi="Verdana"/>
          <w:sz w:val="20"/>
        </w:rPr>
        <w:t>If the Insurer intends to use the services of other Insurers (reinsurance or co-insurance), the terms and conditions of the primary Insurer’s insurance contract must be attached to the offer and the terms and conditions of the insurance contract. In such a case, it shall be ensured that the terms and conditions of the primary Insurer are applied in full and are not narrower in scope than the requirements set out in this technical specification.</w:t>
      </w:r>
    </w:p>
    <w:p w14:paraId="364A2D7E"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sz w:val="20"/>
        </w:rPr>
        <w:t xml:space="preserve">The Policyholder shall notify the Insurer (Crisis Management Specialist) of the insured event in writing within three (3) working days, except in cases where, for objective reasons, the Policyholder is unable to notify the Insurer. The Policyholder and the Insurer shall exchange all documents, evidence or other information related to the insured event in an irretrievably anonymised form, i.e. excluding any personal data. Anonymisation shall be ensured by the Insurer/Policyholder providing the content. </w:t>
      </w:r>
    </w:p>
    <w:p w14:paraId="56BFFEBB" w14:textId="77777777" w:rsidR="0032182C" w:rsidRPr="0032182C" w:rsidRDefault="0032182C" w:rsidP="001D6290">
      <w:pPr>
        <w:pStyle w:val="ListParagraph"/>
        <w:spacing w:after="0" w:line="240" w:lineRule="auto"/>
        <w:ind w:left="-142"/>
        <w:jc w:val="both"/>
        <w:outlineLvl w:val="1"/>
        <w:rPr>
          <w:rFonts w:ascii="Verdana" w:eastAsia="Times New Roman" w:hAnsi="Verdana"/>
          <w:sz w:val="20"/>
          <w:szCs w:val="20"/>
          <w:lang w:val="lt-LT" w:eastAsia="lt-LT"/>
        </w:rPr>
      </w:pPr>
    </w:p>
    <w:p w14:paraId="1E9C4279"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rPr>
      </w:pPr>
      <w:r>
        <w:rPr>
          <w:rFonts w:ascii="Verdana" w:hAnsi="Verdana"/>
          <w:b/>
          <w:sz w:val="20"/>
        </w:rPr>
        <w:t>Additional conditions.</w:t>
      </w:r>
    </w:p>
    <w:p w14:paraId="6BAEDD11" w14:textId="77777777" w:rsidR="0032182C" w:rsidRPr="0032182C" w:rsidRDefault="0032182C" w:rsidP="001D6290">
      <w:pPr>
        <w:pStyle w:val="ListParagraph"/>
        <w:numPr>
          <w:ilvl w:val="1"/>
          <w:numId w:val="66"/>
        </w:numPr>
        <w:spacing w:after="0" w:line="240" w:lineRule="auto"/>
        <w:ind w:left="-142" w:firstLine="0"/>
        <w:jc w:val="both"/>
        <w:outlineLvl w:val="1"/>
        <w:rPr>
          <w:rFonts w:ascii="Verdana" w:eastAsia="Times New Roman" w:hAnsi="Verdana"/>
          <w:b/>
          <w:bCs/>
          <w:sz w:val="20"/>
          <w:szCs w:val="20"/>
        </w:rPr>
      </w:pPr>
      <w:r>
        <w:rPr>
          <w:rFonts w:ascii="Verdana" w:hAnsi="Verdana"/>
          <w:b/>
          <w:bCs/>
          <w:sz w:val="20"/>
        </w:rPr>
        <w:t>Continuous coverage</w:t>
      </w:r>
      <w:r>
        <w:rPr>
          <w:rFonts w:ascii="Verdana" w:hAnsi="Verdana"/>
          <w:sz w:val="20"/>
        </w:rPr>
        <w:t xml:space="preserve"> means that insurance coverage must apply to insured events first reported during the insurance period, even if they arose from previously known circumstances, if:</w:t>
      </w:r>
    </w:p>
    <w:p w14:paraId="2E63CF76"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rPr>
      </w:pPr>
      <w:r>
        <w:rPr>
          <w:rFonts w:ascii="Verdana" w:hAnsi="Verdana"/>
          <w:sz w:val="20"/>
        </w:rPr>
        <w:t>insurance coverage was provided continuously;</w:t>
      </w:r>
    </w:p>
    <w:p w14:paraId="461AA620"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rPr>
      </w:pPr>
      <w:r>
        <w:rPr>
          <w:rFonts w:ascii="Verdana" w:hAnsi="Verdana"/>
          <w:sz w:val="20"/>
        </w:rPr>
        <w:t>such circumstances were not reported under another insurance contract;</w:t>
      </w:r>
    </w:p>
    <w:p w14:paraId="076405AD"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rPr>
      </w:pPr>
      <w:r>
        <w:rPr>
          <w:rFonts w:ascii="Verdana" w:hAnsi="Verdana"/>
          <w:sz w:val="20"/>
        </w:rPr>
        <w:t>the failure to report was not intentional or in bad faith.</w:t>
      </w:r>
    </w:p>
    <w:p w14:paraId="233A6E7A" w14:textId="77777777" w:rsidR="0032182C" w:rsidRPr="0032182C" w:rsidRDefault="0032182C" w:rsidP="001D6290">
      <w:pPr>
        <w:pStyle w:val="ListParagraph"/>
        <w:numPr>
          <w:ilvl w:val="1"/>
          <w:numId w:val="66"/>
        </w:numPr>
        <w:spacing w:after="0" w:line="240" w:lineRule="auto"/>
        <w:ind w:left="-142" w:firstLine="0"/>
        <w:jc w:val="both"/>
        <w:outlineLvl w:val="1"/>
        <w:rPr>
          <w:rFonts w:ascii="Verdana" w:eastAsia="Times New Roman" w:hAnsi="Verdana"/>
          <w:b/>
          <w:bCs/>
          <w:sz w:val="20"/>
          <w:szCs w:val="20"/>
        </w:rPr>
      </w:pPr>
      <w:r>
        <w:rPr>
          <w:rFonts w:ascii="Verdana" w:hAnsi="Verdana"/>
          <w:b/>
          <w:bCs/>
          <w:sz w:val="20"/>
        </w:rPr>
        <w:t>Compensation for attending court hearings</w:t>
      </w:r>
      <w:r>
        <w:rPr>
          <w:rFonts w:ascii="Verdana" w:hAnsi="Verdana"/>
          <w:sz w:val="20"/>
        </w:rPr>
        <w:t xml:space="preserve"> means that the Insurer must pay the insured compensation for each day that an employee whose professional activities are related to CENTROlink is required to attend a court, arbitration or administrative hearing as a witness in relation to a claim or loss,</w:t>
      </w:r>
    </w:p>
    <w:p w14:paraId="13AD13BE"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rPr>
      </w:pPr>
      <w:r>
        <w:rPr>
          <w:rFonts w:ascii="Verdana" w:hAnsi="Verdana"/>
          <w:sz w:val="20"/>
        </w:rPr>
        <w:tab/>
        <w:t>in the amount of EUR 250 per day for any employee.</w:t>
      </w:r>
    </w:p>
    <w:p w14:paraId="71DB1632" w14:textId="2BE8CF7A"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b/>
          <w:bCs/>
          <w:sz w:val="20"/>
        </w:rPr>
        <w:t>Crisis management costs</w:t>
      </w:r>
      <w:r>
        <w:rPr>
          <w:rFonts w:ascii="Verdana" w:hAnsi="Verdana"/>
          <w:sz w:val="20"/>
        </w:rPr>
        <w:t xml:space="preserve"> means that the Insurer must cover the costs incurred in the event of a data security breach, theft, malicious cyber activity or telephone fraud.</w:t>
      </w:r>
    </w:p>
    <w:p w14:paraId="7CEF6283"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b/>
          <w:bCs/>
          <w:sz w:val="20"/>
        </w:rPr>
        <w:t>Crisis management specialist</w:t>
      </w:r>
      <w:r>
        <w:rPr>
          <w:rFonts w:ascii="Verdana" w:hAnsi="Verdana"/>
          <w:sz w:val="20"/>
        </w:rPr>
        <w:t xml:space="preserve"> means a person appointed by the Insurer to be responsible for the performance of the contract.</w:t>
      </w:r>
    </w:p>
    <w:p w14:paraId="06A34097"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b/>
          <w:bCs/>
          <w:sz w:val="20"/>
        </w:rPr>
        <w:t>Employee protection</w:t>
      </w:r>
      <w:r>
        <w:rPr>
          <w:rFonts w:ascii="Verdana" w:hAnsi="Verdana"/>
          <w:sz w:val="20"/>
        </w:rPr>
        <w:t xml:space="preserve"> means that the Insurer must provide insurance protection to an employee whose professional activities are related to CENTROlink to the same extent as to the Policyholder, if:</w:t>
      </w:r>
    </w:p>
    <w:p w14:paraId="3FF1A437"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sz w:val="20"/>
        </w:rPr>
        <w:t>all terms and conditions of the insurance contract are met;</w:t>
      </w:r>
    </w:p>
    <w:p w14:paraId="3435B72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sz w:val="20"/>
        </w:rPr>
        <w:t>there is no personal financial interest in the outcome of the claim;</w:t>
      </w:r>
    </w:p>
    <w:p w14:paraId="0BBF7570"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sz w:val="20"/>
        </w:rPr>
        <w:t>no profit was made from the actions that gave rise to the claim.</w:t>
      </w:r>
    </w:p>
    <w:p w14:paraId="4B08F43F"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rPr>
      </w:pPr>
      <w:r>
        <w:rPr>
          <w:rFonts w:ascii="Verdana" w:hAnsi="Verdana"/>
          <w:b/>
          <w:bCs/>
          <w:sz w:val="20"/>
        </w:rPr>
        <w:t>Loss mitigation</w:t>
      </w:r>
      <w:r>
        <w:rPr>
          <w:rFonts w:ascii="Verdana" w:hAnsi="Verdana"/>
          <w:sz w:val="20"/>
        </w:rPr>
        <w:t xml:space="preserve"> means that the Insurer must cover reasonable loss mitigation costs incurred during the insurance period in order to avoid or reduce the financial consequences of a possible claim, provided that these costs have been agreed in advance with the Insurer. If the Policyholder is unable to obtain the Insurer’s written consent in a timely manner, urgent loss mitigation costs not exceeding the relevant sublimit shall be compensated.</w:t>
      </w:r>
    </w:p>
    <w:p w14:paraId="318EF55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b/>
          <w:bCs/>
          <w:sz w:val="20"/>
        </w:rPr>
        <w:t>Public relations services</w:t>
      </w:r>
      <w:r>
        <w:rPr>
          <w:rFonts w:ascii="Verdana" w:hAnsi="Verdana"/>
          <w:sz w:val="20"/>
        </w:rPr>
        <w:t xml:space="preserve"> means that the Insurer shall cover reasonable expenses for public relations and/or crisis communication consultants’ services aimed at mitigating damage to the Policyholder’s reputation.</w:t>
      </w:r>
    </w:p>
    <w:p w14:paraId="54661BDC" w14:textId="77777777" w:rsidR="0032182C" w:rsidRPr="0032182C" w:rsidRDefault="0032182C" w:rsidP="005F6FF7">
      <w:pPr>
        <w:pStyle w:val="ListParagraph"/>
        <w:numPr>
          <w:ilvl w:val="1"/>
          <w:numId w:val="66"/>
        </w:numPr>
        <w:spacing w:after="0" w:line="240" w:lineRule="auto"/>
        <w:ind w:left="-142" w:firstLine="0"/>
        <w:jc w:val="both"/>
        <w:rPr>
          <w:rFonts w:ascii="Verdana" w:eastAsia="Times New Roman" w:hAnsi="Verdana"/>
          <w:color w:val="000000" w:themeColor="text1"/>
          <w:sz w:val="20"/>
          <w:szCs w:val="20"/>
        </w:rPr>
      </w:pPr>
      <w:r>
        <w:rPr>
          <w:rFonts w:ascii="Verdana" w:hAnsi="Verdana"/>
          <w:b/>
          <w:bCs/>
          <w:sz w:val="20"/>
        </w:rPr>
        <w:lastRenderedPageBreak/>
        <w:t>Investigations by regulatory authorities</w:t>
      </w:r>
      <w:r>
        <w:rPr>
          <w:rFonts w:ascii="Verdana" w:hAnsi="Verdana"/>
          <w:sz w:val="20"/>
        </w:rPr>
        <w:t xml:space="preserve"> means that the Insurer shall cover necessary and reasonable legal expenses incurred in defending the Insured in an investigation or proceedings conducted by a regulatory authority, if the Insured is required to be represented.</w:t>
      </w:r>
    </w:p>
    <w:p w14:paraId="6C47B54A" w14:textId="77777777" w:rsidR="0032182C" w:rsidRDefault="0032182C" w:rsidP="001D6290">
      <w:pPr>
        <w:spacing w:after="0" w:line="240" w:lineRule="auto"/>
        <w:ind w:left="142"/>
        <w:jc w:val="both"/>
        <w:rPr>
          <w:rFonts w:ascii="Verdana" w:eastAsia="Times New Roman" w:hAnsi="Verdana"/>
          <w:sz w:val="20"/>
        </w:rPr>
      </w:pPr>
    </w:p>
    <w:p w14:paraId="3E9FBD52" w14:textId="77777777" w:rsidR="000F65CC" w:rsidRDefault="000F65CC" w:rsidP="001D6290">
      <w:pPr>
        <w:spacing w:after="0" w:line="240" w:lineRule="auto"/>
        <w:ind w:left="142"/>
        <w:jc w:val="both"/>
        <w:rPr>
          <w:rFonts w:ascii="Verdana" w:eastAsia="Times New Roman" w:hAnsi="Verdana"/>
          <w:sz w:val="20"/>
        </w:rPr>
      </w:pPr>
    </w:p>
    <w:p w14:paraId="4DABF44B" w14:textId="77777777" w:rsidR="000F65CC" w:rsidRPr="0032182C" w:rsidRDefault="000F65CC" w:rsidP="001D6290">
      <w:pPr>
        <w:spacing w:after="0" w:line="240" w:lineRule="auto"/>
        <w:ind w:left="142"/>
        <w:jc w:val="both"/>
        <w:rPr>
          <w:rFonts w:ascii="Verdana" w:eastAsia="Times New Roman" w:hAnsi="Verdana"/>
          <w:sz w:val="20"/>
        </w:rPr>
      </w:pPr>
    </w:p>
    <w:p w14:paraId="1602C714" w14:textId="77777777" w:rsidR="0032182C" w:rsidRPr="0032182C" w:rsidRDefault="0032182C" w:rsidP="005F6FF7">
      <w:pPr>
        <w:pStyle w:val="ListParagraph"/>
        <w:numPr>
          <w:ilvl w:val="0"/>
          <w:numId w:val="66"/>
        </w:numPr>
        <w:spacing w:after="0" w:line="240" w:lineRule="auto"/>
        <w:ind w:left="-142" w:firstLine="0"/>
        <w:jc w:val="both"/>
        <w:outlineLvl w:val="0"/>
        <w:rPr>
          <w:rFonts w:ascii="Verdana" w:eastAsia="Times New Roman" w:hAnsi="Verdana"/>
          <w:b/>
          <w:bCs/>
          <w:kern w:val="36"/>
          <w:sz w:val="20"/>
          <w:szCs w:val="20"/>
        </w:rPr>
      </w:pPr>
      <w:r>
        <w:rPr>
          <w:rFonts w:ascii="Verdana" w:hAnsi="Verdana"/>
          <w:b/>
          <w:sz w:val="20"/>
        </w:rPr>
        <w:t>DEFINITIONS.</w:t>
      </w:r>
    </w:p>
    <w:p w14:paraId="039C1306" w14:textId="77777777" w:rsidR="0032182C" w:rsidRPr="0032182C" w:rsidRDefault="0032182C" w:rsidP="005F6FF7">
      <w:pPr>
        <w:pStyle w:val="ListParagraph"/>
        <w:numPr>
          <w:ilvl w:val="1"/>
          <w:numId w:val="66"/>
        </w:numPr>
        <w:spacing w:after="0" w:line="240" w:lineRule="auto"/>
        <w:ind w:left="-142" w:firstLine="0"/>
        <w:jc w:val="both"/>
        <w:outlineLvl w:val="0"/>
        <w:rPr>
          <w:rFonts w:ascii="Verdana" w:eastAsia="Times New Roman" w:hAnsi="Verdana"/>
          <w:kern w:val="36"/>
          <w:sz w:val="20"/>
          <w:szCs w:val="20"/>
        </w:rPr>
      </w:pPr>
      <w:r>
        <w:rPr>
          <w:rFonts w:ascii="Verdana" w:hAnsi="Verdana"/>
          <w:sz w:val="20"/>
        </w:rPr>
        <w:t>The Insurer must understand, apply and interpret these terms as defined in this section:</w:t>
      </w:r>
    </w:p>
    <w:p w14:paraId="15928EF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Liability</w:t>
      </w:r>
      <w:r>
        <w:rPr>
          <w:rFonts w:ascii="Verdana" w:hAnsi="Verdana"/>
          <w:sz w:val="20"/>
        </w:rPr>
        <w:t xml:space="preserve"> means a financial obligation that the Policyholder is legally required to pay in accordance with a claim, such as damages awarded by a court or other institution, amounts awarded by a regulator or arbitrator, agreements agreed on in advance with the Insurer.</w:t>
      </w:r>
    </w:p>
    <w:p w14:paraId="3283860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CENTROlink System</w:t>
      </w:r>
      <w:r>
        <w:rPr>
          <w:rFonts w:ascii="Verdana" w:hAnsi="Verdana"/>
          <w:sz w:val="20"/>
        </w:rPr>
        <w:t xml:space="preserve"> means the payment system of Lietuvos </w:t>
      </w:r>
      <w:proofErr w:type="spellStart"/>
      <w:r>
        <w:rPr>
          <w:rFonts w:ascii="Verdana" w:hAnsi="Verdana"/>
          <w:sz w:val="20"/>
        </w:rPr>
        <w:t>bankas</w:t>
      </w:r>
      <w:proofErr w:type="spellEnd"/>
      <w:r>
        <w:rPr>
          <w:rFonts w:ascii="Verdana" w:hAnsi="Verdana"/>
          <w:sz w:val="20"/>
        </w:rPr>
        <w:t>.</w:t>
      </w:r>
    </w:p>
    <w:p w14:paraId="7AB899E5"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Violation of labour law</w:t>
      </w:r>
      <w:r>
        <w:rPr>
          <w:rFonts w:ascii="Verdana" w:hAnsi="Verdana"/>
          <w:sz w:val="20"/>
        </w:rPr>
        <w:t xml:space="preserve"> means unlawful dismissal, demotion or refusal to hire, discrimination at work (in terms of remuneration, conditions, opportunities), sexual harassment, other unlawful actions and violations of the laws of the Republic of Lithuania governing labour relations.</w:t>
      </w:r>
    </w:p>
    <w:p w14:paraId="16F4D59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Employee</w:t>
      </w:r>
      <w:r>
        <w:rPr>
          <w:rFonts w:ascii="Verdana" w:hAnsi="Verdana"/>
          <w:sz w:val="20"/>
        </w:rPr>
        <w:t xml:space="preserve"> means any person who is or was:</w:t>
      </w:r>
    </w:p>
    <w:p w14:paraId="49B39F68"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rPr>
      </w:pPr>
      <w:r>
        <w:rPr>
          <w:rFonts w:ascii="Verdana" w:hAnsi="Verdana"/>
          <w:sz w:val="20"/>
        </w:rPr>
        <w:t xml:space="preserve">an employee of Lietuvos </w:t>
      </w:r>
      <w:proofErr w:type="spellStart"/>
      <w:r>
        <w:rPr>
          <w:rFonts w:ascii="Verdana" w:hAnsi="Verdana"/>
          <w:sz w:val="20"/>
        </w:rPr>
        <w:t>bankas</w:t>
      </w:r>
      <w:proofErr w:type="spellEnd"/>
      <w:r>
        <w:rPr>
          <w:rFonts w:ascii="Verdana" w:hAnsi="Verdana"/>
          <w:sz w:val="20"/>
        </w:rPr>
        <w:t>; or</w:t>
      </w:r>
    </w:p>
    <w:p w14:paraId="0AF73B8A"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rPr>
      </w:pPr>
      <w:r>
        <w:rPr>
          <w:rFonts w:ascii="Verdana" w:hAnsi="Verdana"/>
          <w:sz w:val="20"/>
        </w:rPr>
        <w:t>a representative of a third party hired by the Policyholder on a contractual basis; or</w:t>
      </w:r>
    </w:p>
    <w:p w14:paraId="49B3E00B"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rPr>
      </w:pPr>
      <w:r>
        <w:rPr>
          <w:rFonts w:ascii="Verdana" w:hAnsi="Verdana"/>
          <w:sz w:val="20"/>
        </w:rPr>
        <w:t>a participant in an internship, traineeship or similar program with the Policyholder,</w:t>
      </w:r>
    </w:p>
    <w:p w14:paraId="14A6E7B5" w14:textId="77777777" w:rsidR="0032182C" w:rsidRPr="0032182C" w:rsidRDefault="0032182C" w:rsidP="005F6FF7">
      <w:pPr>
        <w:spacing w:after="0" w:line="240" w:lineRule="auto"/>
        <w:ind w:left="-142"/>
        <w:jc w:val="both"/>
        <w:outlineLvl w:val="0"/>
        <w:rPr>
          <w:rFonts w:ascii="Verdana" w:eastAsia="Times New Roman" w:hAnsi="Verdana"/>
          <w:kern w:val="36"/>
          <w:sz w:val="20"/>
        </w:rPr>
      </w:pPr>
      <w:r>
        <w:rPr>
          <w:rFonts w:ascii="Verdana" w:hAnsi="Verdana"/>
          <w:sz w:val="20"/>
        </w:rPr>
        <w:t>while such person was employed by, acted on behalf of or was controlled by the Policyholder, while performing activities related to the operation of the CENTROlink System.</w:t>
      </w:r>
    </w:p>
    <w:p w14:paraId="6213B8D5" w14:textId="77777777" w:rsidR="0032182C" w:rsidRPr="0032182C" w:rsidRDefault="0032182C" w:rsidP="005F6FF7">
      <w:pPr>
        <w:pStyle w:val="ListParagraph"/>
        <w:numPr>
          <w:ilvl w:val="2"/>
          <w:numId w:val="66"/>
        </w:numPr>
        <w:spacing w:after="160" w:line="259" w:lineRule="auto"/>
        <w:ind w:left="-142" w:firstLine="0"/>
        <w:rPr>
          <w:rFonts w:ascii="Verdana" w:eastAsia="Times New Roman" w:hAnsi="Verdana"/>
          <w:kern w:val="36"/>
          <w:sz w:val="20"/>
          <w:szCs w:val="20"/>
        </w:rPr>
      </w:pPr>
      <w:r>
        <w:rPr>
          <w:rFonts w:ascii="Verdana" w:hAnsi="Verdana"/>
          <w:b/>
          <w:bCs/>
          <w:sz w:val="20"/>
        </w:rPr>
        <w:t>Policyholder</w:t>
      </w:r>
      <w:r>
        <w:rPr>
          <w:rFonts w:ascii="Verdana" w:hAnsi="Verdana"/>
          <w:sz w:val="20"/>
        </w:rPr>
        <w:t xml:space="preserve"> means a legal entity that enters into an insurance contract with the Insurer and is entitled to insurance coverage under its terms and conditions.</w:t>
      </w:r>
    </w:p>
    <w:p w14:paraId="29A6B86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Insurer</w:t>
      </w:r>
      <w:r>
        <w:rPr>
          <w:rFonts w:ascii="Verdana" w:hAnsi="Verdana"/>
          <w:sz w:val="20"/>
        </w:rPr>
        <w:t xml:space="preserve"> means a legal entity that enters into an insurance contract with the Policyholder, assumes the insurance risk and undertakes to pay insurance claims in the event of an insured event in accordance with the terms and conditions of the contract.</w:t>
      </w:r>
    </w:p>
    <w:p w14:paraId="7BFDB01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Insurance period</w:t>
      </w:r>
      <w:r>
        <w:rPr>
          <w:rFonts w:ascii="Verdana" w:hAnsi="Verdana"/>
          <w:sz w:val="20"/>
        </w:rPr>
        <w:t xml:space="preserve"> means the period during which the insurance contract is valid and insurance coverage is in effect, i.e. the period from the effective date of the contract until its expiration.</w:t>
      </w:r>
    </w:p>
    <w:p w14:paraId="4E587C27"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Insurance premium</w:t>
      </w:r>
      <w:r>
        <w:rPr>
          <w:rFonts w:ascii="Verdana" w:hAnsi="Verdana"/>
          <w:sz w:val="20"/>
        </w:rPr>
        <w:t xml:space="preserve"> means the amount of money that the Policyholder undertakes to pay to the Insurer for the provision of insurance coverage in accordance with the terms of the contract.</w:t>
      </w:r>
    </w:p>
    <w:p w14:paraId="339FC74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Effective date of insurance</w:t>
      </w:r>
      <w:r>
        <w:rPr>
          <w:rFonts w:ascii="Verdana" w:hAnsi="Verdana"/>
          <w:sz w:val="20"/>
        </w:rPr>
        <w:t xml:space="preserve"> means the date from which insurance coverage under the contract begins to apply. Insurance coverage only covers actions, events, errors or omissions that occurred or were committed from this date.</w:t>
      </w:r>
    </w:p>
    <w:p w14:paraId="13AD945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Payment of claim</w:t>
      </w:r>
      <w:r>
        <w:rPr>
          <w:rFonts w:ascii="Verdana" w:hAnsi="Verdana"/>
          <w:sz w:val="20"/>
        </w:rPr>
        <w:t xml:space="preserve"> means the amount of money that the Insurer pays when an insured event occurs in accordance with the terms of the contract.</w:t>
      </w:r>
    </w:p>
    <w:p w14:paraId="052180E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Data and documents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data and documents, in physical or electronic form, belonging to the Policyholder or for which the Policyholder is legally responsible. This includes personal data, confidential and legally protected information.</w:t>
      </w:r>
    </w:p>
    <w:p w14:paraId="715A5AC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Data breach</w:t>
      </w:r>
      <w:r>
        <w:rPr>
          <w:rFonts w:ascii="Verdana" w:hAnsi="Verdana"/>
          <w:sz w:val="20"/>
        </w:rPr>
        <w:t xml:space="preserve"> means any breach of the security of data, including personal data, and/or loss, misuse, theft, unlawful disclosure, alteration, damage or destruction of documents.</w:t>
      </w:r>
    </w:p>
    <w:p w14:paraId="32598E16"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Intellectual property rights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copyrights, trademarks, designs, names, slogans, trade names, domain names, moral rights. They exclude patents or trade secrets.</w:t>
      </w:r>
    </w:p>
    <w:p w14:paraId="30ACBD55"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Expenses and costs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necessary and reasonable legal expenses incurred in investigating, defending or resolving a claim or loss.</w:t>
      </w:r>
    </w:p>
    <w:p w14:paraId="6DE82976"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Malicious act</w:t>
      </w:r>
      <w:r>
        <w:rPr>
          <w:rFonts w:ascii="Verdana" w:hAnsi="Verdana"/>
          <w:sz w:val="20"/>
        </w:rPr>
        <w:t xml:space="preserve"> means an act that caused a cyber incident.</w:t>
      </w:r>
    </w:p>
    <w:p w14:paraId="7E8B8DEC" w14:textId="77777777" w:rsidR="0032182C" w:rsidRPr="0032182C" w:rsidRDefault="0032182C" w:rsidP="005F6FF7">
      <w:pPr>
        <w:pStyle w:val="ListParagraph"/>
        <w:numPr>
          <w:ilvl w:val="2"/>
          <w:numId w:val="66"/>
        </w:numPr>
        <w:spacing w:after="160" w:line="259" w:lineRule="auto"/>
        <w:ind w:left="-142" w:firstLine="0"/>
        <w:jc w:val="both"/>
        <w:rPr>
          <w:rFonts w:ascii="Verdana" w:eastAsia="Times New Roman" w:hAnsi="Verdana"/>
          <w:kern w:val="36"/>
          <w:sz w:val="20"/>
          <w:szCs w:val="20"/>
        </w:rPr>
      </w:pPr>
      <w:r>
        <w:rPr>
          <w:rFonts w:ascii="Verdana" w:hAnsi="Verdana"/>
          <w:b/>
          <w:bCs/>
          <w:sz w:val="20"/>
        </w:rPr>
        <w:t>Cyber incident</w:t>
      </w:r>
      <w:r>
        <w:rPr>
          <w:rFonts w:ascii="Verdana" w:hAnsi="Verdana"/>
          <w:sz w:val="20"/>
        </w:rPr>
        <w:t xml:space="preserve"> means an event that compromises the availability, authenticity, integrity, or confidentiality of data stored, transmitted or processed or of services provided or accessible through network and information systems.</w:t>
      </w:r>
    </w:p>
    <w:p w14:paraId="4AD092E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Computer system</w:t>
      </w:r>
      <w:r>
        <w:rPr>
          <w:rFonts w:ascii="Verdana" w:hAnsi="Verdana"/>
          <w:sz w:val="20"/>
        </w:rPr>
        <w:t xml:space="preserve"> means any information and/or communications technology system, device or equipment, including software and the data stored therein.</w:t>
      </w:r>
    </w:p>
    <w:p w14:paraId="3EA00DE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Computer virus</w:t>
      </w:r>
      <w:r>
        <w:rPr>
          <w:rFonts w:ascii="Verdana" w:hAnsi="Verdana"/>
          <w:sz w:val="20"/>
        </w:rPr>
        <w:t xml:space="preserve"> means any malicious software or malicious code program.</w:t>
      </w:r>
    </w:p>
    <w:p w14:paraId="1D42C917" w14:textId="77777777" w:rsidR="0032182C" w:rsidRPr="0032182C" w:rsidRDefault="0032182C" w:rsidP="005F6FF7">
      <w:pPr>
        <w:pStyle w:val="ListParagraph"/>
        <w:numPr>
          <w:ilvl w:val="2"/>
          <w:numId w:val="66"/>
        </w:numPr>
        <w:spacing w:after="160" w:line="259" w:lineRule="auto"/>
        <w:ind w:left="-142" w:firstLine="0"/>
        <w:jc w:val="both"/>
        <w:rPr>
          <w:rFonts w:ascii="Verdana" w:eastAsia="Times New Roman" w:hAnsi="Verdana"/>
          <w:kern w:val="36"/>
          <w:sz w:val="20"/>
          <w:szCs w:val="20"/>
        </w:rPr>
      </w:pPr>
      <w:r>
        <w:rPr>
          <w:rFonts w:ascii="Verdana" w:hAnsi="Verdana"/>
          <w:b/>
          <w:bCs/>
          <w:sz w:val="20"/>
        </w:rPr>
        <w:t>Crisis management costs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costs incurred by the Crisis Management Specialist in providing services to the Policyholder, which must be approved by the Policyholder in advance in writing, including:</w:t>
      </w:r>
    </w:p>
    <w:p w14:paraId="26292D3B"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rPr>
      </w:pPr>
      <w:r>
        <w:rPr>
          <w:rFonts w:ascii="Verdana" w:hAnsi="Verdana"/>
          <w:sz w:val="20"/>
        </w:rPr>
        <w:t>advising the Policyholder on incident response via a 24/7 helpline;</w:t>
      </w:r>
    </w:p>
    <w:p w14:paraId="14B8FAEA"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rPr>
      </w:pPr>
      <w:r>
        <w:rPr>
          <w:rFonts w:ascii="Verdana" w:hAnsi="Verdana"/>
          <w:sz w:val="20"/>
        </w:rPr>
        <w:t>technical assistance to determine the source, scope, and nature of the breach;</w:t>
      </w:r>
    </w:p>
    <w:p w14:paraId="177EAB9E"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rPr>
      </w:pPr>
      <w:r>
        <w:rPr>
          <w:rFonts w:ascii="Verdana" w:hAnsi="Verdana"/>
          <w:sz w:val="20"/>
        </w:rPr>
        <w:t>consultation on legal, regulatory and compliance issues;</w:t>
      </w:r>
    </w:p>
    <w:p w14:paraId="718A803F"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rPr>
      </w:pPr>
      <w:r>
        <w:rPr>
          <w:rFonts w:ascii="Verdana" w:hAnsi="Verdana"/>
          <w:sz w:val="20"/>
        </w:rPr>
        <w:lastRenderedPageBreak/>
        <w:t>compliance with legal requirements, including:</w:t>
      </w:r>
    </w:p>
    <w:p w14:paraId="6966E566" w14:textId="77777777" w:rsidR="0032182C" w:rsidRPr="0032182C" w:rsidRDefault="0032182C" w:rsidP="005F6FF7">
      <w:pPr>
        <w:pStyle w:val="ListParagraph"/>
        <w:numPr>
          <w:ilvl w:val="4"/>
          <w:numId w:val="66"/>
        </w:numPr>
        <w:spacing w:after="0" w:line="259" w:lineRule="auto"/>
        <w:ind w:left="-142" w:firstLine="0"/>
        <w:jc w:val="both"/>
        <w:rPr>
          <w:rFonts w:ascii="Verdana" w:eastAsia="Times New Roman" w:hAnsi="Verdana"/>
          <w:kern w:val="36"/>
          <w:sz w:val="20"/>
          <w:szCs w:val="20"/>
        </w:rPr>
      </w:pPr>
      <w:r>
        <w:rPr>
          <w:rFonts w:ascii="Verdana" w:hAnsi="Verdana"/>
          <w:sz w:val="20"/>
        </w:rPr>
        <w:t>notification of third parties and/or employees of an actual or suspected breach;</w:t>
      </w:r>
    </w:p>
    <w:p w14:paraId="2B7B6547" w14:textId="77777777" w:rsidR="0032182C" w:rsidRPr="0032182C" w:rsidRDefault="0032182C" w:rsidP="005F6FF7">
      <w:pPr>
        <w:pStyle w:val="ListParagraph"/>
        <w:numPr>
          <w:ilvl w:val="4"/>
          <w:numId w:val="66"/>
        </w:numPr>
        <w:spacing w:after="160" w:line="259" w:lineRule="auto"/>
        <w:ind w:left="-142" w:firstLine="0"/>
        <w:jc w:val="both"/>
        <w:rPr>
          <w:rFonts w:ascii="Verdana" w:eastAsia="Times New Roman" w:hAnsi="Verdana"/>
          <w:kern w:val="36"/>
          <w:sz w:val="20"/>
          <w:szCs w:val="20"/>
        </w:rPr>
      </w:pPr>
      <w:r>
        <w:rPr>
          <w:rFonts w:ascii="Verdana" w:hAnsi="Verdana"/>
          <w:sz w:val="20"/>
        </w:rPr>
        <w:t>provision of credit monitoring, identity theft prevention and/or other similar services for up to 12 months;</w:t>
      </w:r>
    </w:p>
    <w:p w14:paraId="37E92BDC"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rPr>
      </w:pPr>
      <w:r>
        <w:rPr>
          <w:rFonts w:ascii="Verdana" w:hAnsi="Verdana"/>
          <w:sz w:val="20"/>
        </w:rPr>
        <w:t>notification of third parties about the actual or suspected breach, where such notification is not legally required but is necessary to mitigate damage to the Policyholder’s reputation.</w:t>
      </w:r>
    </w:p>
    <w:p w14:paraId="07447350"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Crisis Management Specialist</w:t>
      </w:r>
      <w:r>
        <w:rPr>
          <w:rFonts w:ascii="Verdana" w:hAnsi="Verdana"/>
          <w:sz w:val="20"/>
        </w:rPr>
        <w:t xml:space="preserve"> means an entity appointed by the Insurer to be responsible for crisis management services.</w:t>
      </w:r>
    </w:p>
    <w:p w14:paraId="6808761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CENTROlink operational incident</w:t>
      </w:r>
      <w:r>
        <w:rPr>
          <w:rFonts w:ascii="Verdana" w:hAnsi="Verdana"/>
          <w:sz w:val="20"/>
        </w:rPr>
        <w:t xml:space="preserve"> means an error or failure related to access, use or operation of the CENTROlink System or its complete or partial failure, where related to the provision or disruption of CENTROlink services, but not to malicious activity.</w:t>
      </w:r>
    </w:p>
    <w:p w14:paraId="27A81D43"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Unlawful act</w:t>
      </w:r>
      <w:r>
        <w:rPr>
          <w:rFonts w:ascii="Verdana" w:hAnsi="Verdana"/>
          <w:sz w:val="20"/>
        </w:rPr>
        <w:t xml:space="preserve"> means any actual or alleged act, error or omission, breach of duty, trust or statutory obligation, exceeding authority or violation of labour law.</w:t>
      </w:r>
    </w:p>
    <w:p w14:paraId="77776E4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Loss</w:t>
      </w:r>
      <w:r>
        <w:rPr>
          <w:rFonts w:ascii="Verdana" w:hAnsi="Verdana"/>
          <w:sz w:val="20"/>
        </w:rPr>
        <w:t xml:space="preserve"> means that the Insurer shall consider any direct financial damage to be a loss.</w:t>
      </w:r>
    </w:p>
    <w:p w14:paraId="3BCF6D72"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Loss mitigation costs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additional external costs incurred by the Policyholder with the prior written consent of the Insurer in order to avoid or reduce the financial consequences of a potential claim.</w:t>
      </w:r>
    </w:p>
    <w:p w14:paraId="1FA6706E"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Criminal property</w:t>
      </w:r>
      <w:r>
        <w:rPr>
          <w:rFonts w:ascii="Verdana" w:hAnsi="Verdana"/>
          <w:sz w:val="20"/>
        </w:rPr>
        <w:t xml:space="preserve"> means money, property or any benefit derived from or related to a criminal act.</w:t>
      </w:r>
    </w:p>
    <w:p w14:paraId="4F33E069"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Criminal act</w:t>
      </w:r>
      <w:r>
        <w:rPr>
          <w:rFonts w:ascii="Verdana" w:hAnsi="Verdana"/>
          <w:sz w:val="20"/>
        </w:rPr>
        <w:t xml:space="preserve"> means conduct that constitutes or would constitute a crime (offence) in any jurisdiction in the world.</w:t>
      </w:r>
    </w:p>
    <w:p w14:paraId="1434FBAE"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Service provider</w:t>
      </w:r>
      <w:r>
        <w:rPr>
          <w:rFonts w:ascii="Verdana" w:hAnsi="Verdana"/>
          <w:sz w:val="20"/>
        </w:rPr>
        <w:t xml:space="preserve"> means a third party engaged by the Policyholder to provide services.</w:t>
      </w:r>
    </w:p>
    <w:p w14:paraId="4FA80C6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Money laundering</w:t>
      </w:r>
      <w:r>
        <w:rPr>
          <w:rFonts w:ascii="Verdana" w:hAnsi="Verdana"/>
          <w:sz w:val="20"/>
        </w:rPr>
        <w:t xml:space="preserve"> means activities aimed at concealing or legitimising the origin of criminally obtained property, including its concealment, conversion, transfer or use.</w:t>
      </w:r>
    </w:p>
    <w:p w14:paraId="7CF02B6C"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Regulatory Authority</w:t>
      </w:r>
      <w:r>
        <w:rPr>
          <w:rFonts w:ascii="Verdana" w:hAnsi="Verdana"/>
          <w:sz w:val="20"/>
        </w:rPr>
        <w:t xml:space="preserve"> means an institution or agency with the authority to supervise, investigate or ensure compliance with laws, regulations or data (including personal data) protection policies and provisions, including, but not limited to, the National Cyber Security Centre, the Lithuanian police and the State Data Protection Inspectorate.</w:t>
      </w:r>
    </w:p>
    <w:p w14:paraId="24BEB8EF"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Request</w:t>
      </w:r>
      <w:r>
        <w:rPr>
          <w:rFonts w:ascii="Verdana" w:hAnsi="Verdana"/>
          <w:sz w:val="20"/>
        </w:rPr>
        <w:t xml:space="preserve"> means </w:t>
      </w:r>
      <w:proofErr w:type="spellStart"/>
      <w:r>
        <w:rPr>
          <w:rFonts w:ascii="Verdana" w:hAnsi="Verdana"/>
          <w:sz w:val="20"/>
        </w:rPr>
        <w:t>means</w:t>
      </w:r>
      <w:proofErr w:type="spellEnd"/>
      <w:r>
        <w:rPr>
          <w:rFonts w:ascii="Verdana" w:hAnsi="Verdana"/>
          <w:sz w:val="20"/>
        </w:rPr>
        <w:t xml:space="preserve"> a written request or claim form, letter, summons, arbitration proceedings or other civil request of any kind, including any counterclaim or counterclaim for compensation or damages or a </w:t>
      </w:r>
      <w:proofErr w:type="gramStart"/>
      <w:r>
        <w:rPr>
          <w:rFonts w:ascii="Verdana" w:hAnsi="Verdana"/>
          <w:sz w:val="20"/>
        </w:rPr>
        <w:t>third party</w:t>
      </w:r>
      <w:proofErr w:type="gramEnd"/>
      <w:r>
        <w:rPr>
          <w:rFonts w:ascii="Verdana" w:hAnsi="Verdana"/>
          <w:sz w:val="20"/>
        </w:rPr>
        <w:t xml:space="preserve"> claim.</w:t>
      </w:r>
    </w:p>
    <w:p w14:paraId="43C9757A"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System and data recovery costs</w:t>
      </w:r>
      <w:r>
        <w:rPr>
          <w:rFonts w:ascii="Verdana" w:hAnsi="Verdana"/>
          <w:sz w:val="20"/>
        </w:rPr>
        <w:t xml:space="preserve"> means the costs necessary to permanently and effectively restore, replace, rebuild or recover the CENTROlink System.</w:t>
      </w:r>
    </w:p>
    <w:p w14:paraId="22AC9C3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Emergency loss mitigation costs</w:t>
      </w:r>
      <w:r>
        <w:rPr>
          <w:rFonts w:ascii="Verdana" w:hAnsi="Verdana"/>
          <w:sz w:val="20"/>
        </w:rPr>
        <w:t xml:space="preserve"> </w:t>
      </w:r>
      <w:proofErr w:type="gramStart"/>
      <w:r>
        <w:rPr>
          <w:rFonts w:ascii="Verdana" w:hAnsi="Verdana"/>
          <w:sz w:val="20"/>
        </w:rPr>
        <w:t>means</w:t>
      </w:r>
      <w:proofErr w:type="gramEnd"/>
      <w:r>
        <w:rPr>
          <w:rFonts w:ascii="Verdana" w:hAnsi="Verdana"/>
          <w:sz w:val="20"/>
        </w:rPr>
        <w:t xml:space="preserve"> loss mitigation costs incurred by the Policyholder when, after making all reasonable efforts, it is unable to contact the Insurer to obtain prior written consent.</w:t>
      </w:r>
    </w:p>
    <w:p w14:paraId="52F0D99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Telephone fraud</w:t>
      </w:r>
      <w:r>
        <w:rPr>
          <w:rFonts w:ascii="Verdana" w:hAnsi="Verdana"/>
          <w:sz w:val="20"/>
        </w:rPr>
        <w:t xml:space="preserve"> means illegal intrusion into a telephone system, resulting in illegal or unexpected call charges.</w:t>
      </w:r>
    </w:p>
    <w:p w14:paraId="7CD8753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rPr>
      </w:pPr>
      <w:r>
        <w:rPr>
          <w:rFonts w:ascii="Verdana" w:hAnsi="Verdana"/>
          <w:b/>
          <w:bCs/>
          <w:sz w:val="20"/>
        </w:rPr>
        <w:t>Theft</w:t>
      </w:r>
      <w:r>
        <w:rPr>
          <w:rFonts w:ascii="Verdana" w:hAnsi="Verdana"/>
          <w:sz w:val="20"/>
        </w:rPr>
        <w:t xml:space="preserve"> means misappropriation or unlawful use of money, property or financial instruments, committed by electronic means or other methods.</w:t>
      </w:r>
    </w:p>
    <w:p w14:paraId="4E1CC4EE" w14:textId="77777777" w:rsidR="0032182C" w:rsidRPr="0032182C" w:rsidRDefault="0032182C" w:rsidP="005F6FF7">
      <w:pPr>
        <w:pStyle w:val="ListParagraph"/>
        <w:numPr>
          <w:ilvl w:val="0"/>
          <w:numId w:val="66"/>
        </w:numPr>
        <w:spacing w:after="0" w:line="240" w:lineRule="auto"/>
        <w:ind w:left="-142" w:firstLine="0"/>
        <w:contextualSpacing w:val="0"/>
        <w:jc w:val="both"/>
        <w:outlineLvl w:val="1"/>
        <w:rPr>
          <w:rFonts w:ascii="Verdana" w:eastAsia="Times New Roman" w:hAnsi="Verdana"/>
          <w:b/>
          <w:bCs/>
          <w:sz w:val="20"/>
          <w:szCs w:val="20"/>
        </w:rPr>
      </w:pPr>
      <w:r>
        <w:rPr>
          <w:rFonts w:ascii="Verdana" w:hAnsi="Verdana"/>
          <w:b/>
          <w:sz w:val="20"/>
        </w:rPr>
        <w:t>Anonymisation requirement.</w:t>
      </w:r>
    </w:p>
    <w:p w14:paraId="40BBAF89" w14:textId="77777777" w:rsidR="0032182C" w:rsidRPr="0032182C" w:rsidRDefault="0032182C" w:rsidP="005F6FF7">
      <w:pPr>
        <w:spacing w:after="0" w:line="240" w:lineRule="auto"/>
        <w:ind w:left="-142"/>
        <w:contextualSpacing/>
        <w:jc w:val="both"/>
        <w:outlineLvl w:val="0"/>
        <w:rPr>
          <w:rFonts w:ascii="Verdana" w:eastAsia="Times New Roman" w:hAnsi="Verdana"/>
          <w:vanish/>
          <w:sz w:val="20"/>
        </w:rPr>
      </w:pPr>
    </w:p>
    <w:p w14:paraId="7B49E2C6" w14:textId="1D6C55FC" w:rsidR="0032182C" w:rsidRDefault="0032182C" w:rsidP="005F6FF7">
      <w:pPr>
        <w:pStyle w:val="ListParagraph"/>
        <w:numPr>
          <w:ilvl w:val="1"/>
          <w:numId w:val="66"/>
        </w:numPr>
        <w:spacing w:after="0" w:line="240" w:lineRule="auto"/>
        <w:ind w:left="-142" w:firstLine="0"/>
        <w:jc w:val="both"/>
        <w:outlineLvl w:val="0"/>
        <w:rPr>
          <w:rFonts w:ascii="Verdana" w:eastAsia="Times New Roman" w:hAnsi="Verdana"/>
          <w:sz w:val="20"/>
          <w:szCs w:val="20"/>
        </w:rPr>
      </w:pPr>
      <w:r>
        <w:rPr>
          <w:rFonts w:ascii="Verdana" w:hAnsi="Verdana"/>
          <w:sz w:val="20"/>
        </w:rPr>
        <w:t>During the provision of services, the Policyholder and the Insurer shall exchange all documents, evidence, other information or other content only in an irretrievably anonymised form, i.e. excluding any personal data. Anonymisation shall be ensured and its adequacy shall be the responsibility of the Insurer or the Policyholder providing the content in a specific situation.</w:t>
      </w:r>
    </w:p>
    <w:p w14:paraId="16291ACF" w14:textId="43D1915F" w:rsidR="009B5B23" w:rsidRPr="0032182C" w:rsidRDefault="009B5B23" w:rsidP="009B5B23">
      <w:pPr>
        <w:pStyle w:val="ListParagraph"/>
        <w:spacing w:after="0" w:line="240" w:lineRule="auto"/>
        <w:ind w:left="-142"/>
        <w:jc w:val="center"/>
        <w:outlineLvl w:val="0"/>
        <w:rPr>
          <w:rFonts w:ascii="Verdana" w:eastAsia="Times New Roman" w:hAnsi="Verdana"/>
          <w:sz w:val="20"/>
          <w:szCs w:val="20"/>
        </w:rPr>
      </w:pPr>
      <w:r>
        <w:rPr>
          <w:rFonts w:ascii="Verdana" w:hAnsi="Verdana"/>
          <w:sz w:val="20"/>
        </w:rPr>
        <w:t>_____________</w:t>
      </w:r>
    </w:p>
    <w:p w14:paraId="5C8DB51F" w14:textId="77777777" w:rsidR="0032182C" w:rsidRPr="0032182C" w:rsidRDefault="0032182C" w:rsidP="005F6FF7">
      <w:pPr>
        <w:spacing w:after="0" w:line="240" w:lineRule="auto"/>
        <w:ind w:left="-142"/>
        <w:jc w:val="both"/>
        <w:rPr>
          <w:rFonts w:ascii="Verdana" w:eastAsia="Times New Roman" w:hAnsi="Verdana"/>
          <w:sz w:val="20"/>
        </w:rPr>
      </w:pPr>
    </w:p>
    <w:p w14:paraId="78F1FF4E" w14:textId="053D2A72" w:rsidR="00741634" w:rsidRPr="0032182C" w:rsidRDefault="0032182C" w:rsidP="00701ADE">
      <w:pPr>
        <w:spacing w:after="160" w:line="259" w:lineRule="auto"/>
        <w:jc w:val="right"/>
        <w:rPr>
          <w:rFonts w:ascii="Verdana" w:eastAsia="Times New Roman" w:hAnsi="Verdana"/>
          <w:sz w:val="20"/>
        </w:rPr>
      </w:pPr>
      <w:r>
        <w:br w:type="page"/>
      </w:r>
      <w:r>
        <w:rPr>
          <w:rFonts w:ascii="Verdana" w:hAnsi="Verdana"/>
          <w:sz w:val="20"/>
        </w:rPr>
        <w:lastRenderedPageBreak/>
        <w:t>Annex 2 to the Procurement Conditions</w:t>
      </w:r>
    </w:p>
    <w:p w14:paraId="47DE62A4" w14:textId="77777777" w:rsidR="00536FEB" w:rsidRPr="0032182C" w:rsidRDefault="00E64403" w:rsidP="00D75299">
      <w:pPr>
        <w:spacing w:after="0" w:line="240" w:lineRule="auto"/>
        <w:ind w:right="120"/>
        <w:jc w:val="center"/>
        <w:rPr>
          <w:rFonts w:ascii="Verdana" w:hAnsi="Verdana"/>
          <w:sz w:val="20"/>
        </w:rPr>
      </w:pPr>
      <w:r>
        <w:rPr>
          <w:rFonts w:ascii="Verdana" w:hAnsi="Verdana"/>
          <w:sz w:val="20"/>
        </w:rPr>
        <w:t xml:space="preserve"> (</w:t>
      </w:r>
      <w:r>
        <w:rPr>
          <w:rFonts w:ascii="Verdana" w:hAnsi="Verdana"/>
          <w:i/>
          <w:sz w:val="20"/>
        </w:rPr>
        <w:t>emblem or trademark</w:t>
      </w:r>
      <w:r>
        <w:rPr>
          <w:rFonts w:ascii="Verdana" w:hAnsi="Verdana"/>
          <w:sz w:val="20"/>
        </w:rPr>
        <w:t>)</w:t>
      </w:r>
    </w:p>
    <w:p w14:paraId="1852C6DF" w14:textId="77777777" w:rsidR="00536FEB" w:rsidRPr="0032182C" w:rsidRDefault="00536FEB" w:rsidP="00D75299">
      <w:pPr>
        <w:pBdr>
          <w:bottom w:val="single" w:sz="4" w:space="1" w:color="auto"/>
        </w:pBdr>
        <w:spacing w:after="0" w:line="240" w:lineRule="auto"/>
        <w:ind w:right="120"/>
        <w:jc w:val="center"/>
        <w:rPr>
          <w:rFonts w:ascii="Verdana" w:hAnsi="Verdana"/>
          <w:sz w:val="20"/>
          <w:lang w:eastAsia="en-US"/>
        </w:rPr>
      </w:pPr>
    </w:p>
    <w:p w14:paraId="332C8E69" w14:textId="77777777" w:rsidR="00536FEB" w:rsidRPr="0032182C" w:rsidRDefault="00536FEB" w:rsidP="00D75299">
      <w:pPr>
        <w:spacing w:after="0" w:line="240" w:lineRule="auto"/>
        <w:ind w:right="120"/>
        <w:jc w:val="center"/>
        <w:rPr>
          <w:rFonts w:ascii="Verdana" w:hAnsi="Verdana"/>
          <w:sz w:val="20"/>
        </w:rPr>
      </w:pPr>
      <w:r>
        <w:rPr>
          <w:rFonts w:ascii="Verdana" w:hAnsi="Verdana"/>
          <w:sz w:val="20"/>
        </w:rPr>
        <w:t>(name of supplier)</w:t>
      </w:r>
    </w:p>
    <w:p w14:paraId="7FD45744" w14:textId="77777777" w:rsidR="00536FEB" w:rsidRPr="0032182C" w:rsidRDefault="00536FEB" w:rsidP="00D75299">
      <w:pPr>
        <w:spacing w:after="0" w:line="240" w:lineRule="auto"/>
        <w:ind w:right="120"/>
        <w:jc w:val="center"/>
        <w:rPr>
          <w:rFonts w:ascii="Verdana" w:hAnsi="Verdana"/>
          <w:sz w:val="20"/>
        </w:rPr>
      </w:pPr>
      <w:r>
        <w:rPr>
          <w:rFonts w:ascii="Verdana" w:hAnsi="Verdana"/>
          <w:sz w:val="20"/>
        </w:rPr>
        <w:t>___________________________________________________________________________</w:t>
      </w:r>
    </w:p>
    <w:p w14:paraId="0B2C372C" w14:textId="77777777" w:rsidR="00536FEB" w:rsidRPr="00734574" w:rsidRDefault="00536FEB" w:rsidP="00D75299">
      <w:pPr>
        <w:spacing w:after="0" w:line="240" w:lineRule="auto"/>
        <w:ind w:right="120"/>
        <w:jc w:val="center"/>
        <w:rPr>
          <w:rFonts w:ascii="Verdana" w:hAnsi="Verdana"/>
          <w:sz w:val="18"/>
          <w:szCs w:val="18"/>
        </w:rPr>
      </w:pPr>
      <w:r>
        <w:rPr>
          <w:rFonts w:ascii="Verdana" w:hAnsi="Verdana"/>
          <w:sz w:val="18"/>
        </w:rPr>
        <w:t>(legal person's legal form, head office, contact information, name of registry where data on the supplier is accumulated and stored, name; code of legal person, VAT payer's code, if the legal person is a VAT payer)</w:t>
      </w:r>
    </w:p>
    <w:p w14:paraId="252BE87D" w14:textId="77777777" w:rsidR="00807408" w:rsidRPr="008C6DF1" w:rsidRDefault="00807408" w:rsidP="00D75299">
      <w:pPr>
        <w:spacing w:after="0" w:line="240" w:lineRule="auto"/>
        <w:jc w:val="center"/>
        <w:rPr>
          <w:rFonts w:ascii="Verdana" w:hAnsi="Verdana"/>
          <w:b/>
          <w:bCs/>
          <w:caps/>
          <w:sz w:val="16"/>
          <w:szCs w:val="16"/>
          <w:lang w:eastAsia="en-US"/>
        </w:rPr>
      </w:pPr>
    </w:p>
    <w:p w14:paraId="5D1346A0" w14:textId="32E563A1" w:rsidR="00807408" w:rsidRPr="0032182C" w:rsidRDefault="00807408" w:rsidP="00D75299">
      <w:pPr>
        <w:spacing w:after="0" w:line="240" w:lineRule="auto"/>
        <w:jc w:val="center"/>
        <w:rPr>
          <w:rFonts w:ascii="Verdana" w:hAnsi="Verdana"/>
          <w:b/>
          <w:bCs/>
          <w:caps/>
          <w:sz w:val="20"/>
        </w:rPr>
      </w:pPr>
      <w:r>
        <w:rPr>
          <w:rFonts w:ascii="Verdana" w:hAnsi="Verdana"/>
          <w:b/>
          <w:caps/>
          <w:sz w:val="20"/>
        </w:rPr>
        <w:t>TENDER</w:t>
      </w:r>
    </w:p>
    <w:p w14:paraId="3B4C7F1A" w14:textId="0821A68E" w:rsidR="00536FEB" w:rsidRPr="0032182C" w:rsidRDefault="00536FEB" w:rsidP="00065359">
      <w:pPr>
        <w:spacing w:after="0" w:line="240" w:lineRule="auto"/>
        <w:jc w:val="center"/>
        <w:rPr>
          <w:rFonts w:ascii="Verdana" w:hAnsi="Verdana"/>
          <w:b/>
          <w:caps/>
          <w:sz w:val="20"/>
        </w:rPr>
      </w:pPr>
      <w:r>
        <w:rPr>
          <w:rFonts w:ascii="Verdana" w:hAnsi="Verdana"/>
          <w:b/>
          <w:caps/>
          <w:sz w:val="20"/>
        </w:rPr>
        <w:t xml:space="preserve">REGARDING THE PROCUREMENT OF THE CENTROLINK SYSTEM INSURANCE </w:t>
      </w:r>
      <w:r>
        <w:rPr>
          <w:rFonts w:ascii="Verdana" w:hAnsi="Verdana"/>
          <w:b/>
          <w:sz w:val="20"/>
        </w:rPr>
        <w:t>SERVICES</w:t>
      </w:r>
    </w:p>
    <w:p w14:paraId="51584BEB" w14:textId="77777777" w:rsidR="00536FEB" w:rsidRPr="008C6DF1" w:rsidRDefault="00536FEB" w:rsidP="00D75299">
      <w:pPr>
        <w:spacing w:after="0" w:line="240" w:lineRule="auto"/>
        <w:jc w:val="center"/>
        <w:rPr>
          <w:rFonts w:ascii="Verdana" w:hAnsi="Verdana"/>
          <w:i/>
          <w:sz w:val="16"/>
          <w:szCs w:val="16"/>
          <w:lang w:eastAsia="en-US"/>
        </w:rPr>
      </w:pPr>
    </w:p>
    <w:p w14:paraId="6DBC719E" w14:textId="77777777" w:rsidR="00536FEB" w:rsidRPr="0032182C" w:rsidRDefault="00536FEB" w:rsidP="008C6DF1">
      <w:pPr>
        <w:shd w:val="clear" w:color="auto" w:fill="FFFFFF"/>
        <w:spacing w:after="0" w:line="240" w:lineRule="auto"/>
        <w:jc w:val="center"/>
        <w:rPr>
          <w:rFonts w:ascii="Verdana" w:hAnsi="Verdana"/>
          <w:color w:val="000000"/>
          <w:sz w:val="20"/>
        </w:rPr>
      </w:pPr>
      <w:r>
        <w:rPr>
          <w:rFonts w:ascii="Verdana" w:hAnsi="Verdana"/>
          <w:sz w:val="20"/>
        </w:rPr>
        <w:t>____________</w:t>
      </w:r>
      <w:r>
        <w:rPr>
          <w:rFonts w:ascii="Verdana" w:hAnsi="Verdana"/>
          <w:color w:val="000000"/>
          <w:sz w:val="20"/>
        </w:rPr>
        <w:t xml:space="preserve"> </w:t>
      </w:r>
      <w:r>
        <w:rPr>
          <w:rFonts w:ascii="Verdana" w:hAnsi="Verdana"/>
          <w:sz w:val="20"/>
        </w:rPr>
        <w:t>No______</w:t>
      </w:r>
    </w:p>
    <w:p w14:paraId="675E194C" w14:textId="77777777" w:rsidR="00536FEB" w:rsidRPr="0032182C" w:rsidRDefault="00536FEB" w:rsidP="00D75299">
      <w:pPr>
        <w:shd w:val="clear" w:color="auto" w:fill="FFFFFF"/>
        <w:tabs>
          <w:tab w:val="left" w:pos="709"/>
        </w:tabs>
        <w:spacing w:after="0" w:line="240" w:lineRule="auto"/>
        <w:ind w:right="120" w:firstLine="3969"/>
        <w:rPr>
          <w:rFonts w:ascii="Verdana" w:hAnsi="Verdana"/>
          <w:color w:val="000000"/>
          <w:sz w:val="20"/>
        </w:rPr>
      </w:pPr>
      <w:r>
        <w:rPr>
          <w:rFonts w:ascii="Verdana" w:hAnsi="Verdana"/>
          <w:color w:val="000000"/>
          <w:sz w:val="20"/>
        </w:rPr>
        <w:t>(date)</w:t>
      </w:r>
    </w:p>
    <w:p w14:paraId="664B84BC" w14:textId="3C2DB28C" w:rsidR="00536FEB" w:rsidRPr="0032182C" w:rsidRDefault="00536FEB" w:rsidP="008C6DF1">
      <w:pPr>
        <w:shd w:val="clear" w:color="auto" w:fill="FFFFFF"/>
        <w:spacing w:after="0" w:line="240" w:lineRule="auto"/>
        <w:jc w:val="center"/>
        <w:rPr>
          <w:rFonts w:ascii="Verdana" w:hAnsi="Verdana"/>
          <w:color w:val="000000"/>
          <w:sz w:val="20"/>
        </w:rPr>
      </w:pPr>
      <w:r>
        <w:rPr>
          <w:rFonts w:ascii="Verdana" w:hAnsi="Verdana"/>
          <w:color w:val="000000"/>
          <w:sz w:val="20"/>
        </w:rPr>
        <w:t>_____________</w:t>
      </w:r>
    </w:p>
    <w:p w14:paraId="0B6E48C9" w14:textId="77777777" w:rsidR="00536FEB" w:rsidRDefault="00536FEB" w:rsidP="008C6DF1">
      <w:pPr>
        <w:shd w:val="clear" w:color="auto" w:fill="FFFFFF"/>
        <w:spacing w:after="0" w:line="240" w:lineRule="auto"/>
        <w:jc w:val="center"/>
        <w:rPr>
          <w:rFonts w:ascii="Verdana" w:hAnsi="Verdana"/>
          <w:color w:val="000000"/>
          <w:sz w:val="20"/>
        </w:rPr>
      </w:pPr>
      <w:r>
        <w:rPr>
          <w:rFonts w:ascii="Verdana" w:hAnsi="Verdana"/>
          <w:color w:val="000000"/>
          <w:sz w:val="20"/>
        </w:rPr>
        <w:t>(place)</w:t>
      </w:r>
    </w:p>
    <w:p w14:paraId="30C1F4A8" w14:textId="77777777" w:rsidR="00B82E78" w:rsidRPr="0032182C" w:rsidRDefault="00B82E78" w:rsidP="008C6DF1">
      <w:pPr>
        <w:shd w:val="clear" w:color="auto" w:fill="FFFFFF"/>
        <w:spacing w:after="0" w:line="240" w:lineRule="auto"/>
        <w:jc w:val="center"/>
        <w:rPr>
          <w:rFonts w:ascii="Verdana" w:hAnsi="Verdana"/>
          <w:color w:val="000000"/>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07"/>
      </w:tblGrid>
      <w:tr w:rsidR="00536FEB" w:rsidRPr="0032182C" w14:paraId="7675928B" w14:textId="77777777" w:rsidTr="00734574">
        <w:tc>
          <w:tcPr>
            <w:tcW w:w="5382" w:type="dxa"/>
            <w:tcBorders>
              <w:top w:val="single" w:sz="4" w:space="0" w:color="auto"/>
              <w:left w:val="single" w:sz="4" w:space="0" w:color="auto"/>
              <w:bottom w:val="single" w:sz="4" w:space="0" w:color="auto"/>
              <w:right w:val="single" w:sz="4" w:space="0" w:color="auto"/>
            </w:tcBorders>
          </w:tcPr>
          <w:p w14:paraId="68B41250" w14:textId="77777777" w:rsidR="00536FEB" w:rsidRPr="0032182C" w:rsidRDefault="00536FEB" w:rsidP="00803C26">
            <w:pPr>
              <w:tabs>
                <w:tab w:val="center" w:pos="1134"/>
                <w:tab w:val="left" w:pos="1276"/>
                <w:tab w:val="left" w:pos="2127"/>
              </w:tabs>
              <w:spacing w:after="0" w:line="240" w:lineRule="auto"/>
              <w:ind w:right="120"/>
              <w:jc w:val="both"/>
              <w:rPr>
                <w:rFonts w:ascii="Verdana" w:hAnsi="Verdana"/>
                <w:i/>
                <w:sz w:val="20"/>
              </w:rPr>
            </w:pPr>
            <w:r>
              <w:rPr>
                <w:rFonts w:ascii="Verdana" w:hAnsi="Verdana"/>
                <w:sz w:val="20"/>
              </w:rPr>
              <w:t>Name of the Supplier (</w:t>
            </w:r>
            <w:r>
              <w:rPr>
                <w:rFonts w:ascii="Verdana" w:hAnsi="Verdana"/>
                <w:i/>
                <w:iCs/>
                <w:sz w:val="20"/>
              </w:rPr>
              <w:t>where a group of Suppliers is participating, the names of all participants shall be written)</w:t>
            </w:r>
          </w:p>
        </w:tc>
        <w:tc>
          <w:tcPr>
            <w:tcW w:w="4507" w:type="dxa"/>
            <w:tcBorders>
              <w:top w:val="single" w:sz="4" w:space="0" w:color="auto"/>
              <w:left w:val="single" w:sz="4" w:space="0" w:color="auto"/>
              <w:bottom w:val="single" w:sz="4" w:space="0" w:color="auto"/>
              <w:right w:val="single" w:sz="4" w:space="0" w:color="auto"/>
            </w:tcBorders>
          </w:tcPr>
          <w:p w14:paraId="2055301C"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440DAFDB"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721562DE" w14:textId="77777777" w:rsidTr="00734574">
        <w:tc>
          <w:tcPr>
            <w:tcW w:w="5382" w:type="dxa"/>
            <w:tcBorders>
              <w:top w:val="single" w:sz="4" w:space="0" w:color="auto"/>
              <w:left w:val="single" w:sz="4" w:space="0" w:color="auto"/>
              <w:bottom w:val="single" w:sz="4" w:space="0" w:color="auto"/>
              <w:right w:val="single" w:sz="4" w:space="0" w:color="auto"/>
            </w:tcBorders>
          </w:tcPr>
          <w:p w14:paraId="087380BC" w14:textId="77777777" w:rsidR="00536FEB" w:rsidRPr="0032182C" w:rsidRDefault="00536FEB" w:rsidP="00803C26">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 xml:space="preserve">Address and code of the Supplier </w:t>
            </w:r>
            <w:r>
              <w:rPr>
                <w:rFonts w:ascii="Verdana" w:hAnsi="Verdana"/>
                <w:i/>
                <w:iCs/>
                <w:sz w:val="20"/>
              </w:rPr>
              <w:t>(where a group of entities is participating, the addresses and codes of all participants are to be written)</w:t>
            </w:r>
          </w:p>
        </w:tc>
        <w:tc>
          <w:tcPr>
            <w:tcW w:w="4507" w:type="dxa"/>
            <w:tcBorders>
              <w:top w:val="single" w:sz="4" w:space="0" w:color="auto"/>
              <w:left w:val="single" w:sz="4" w:space="0" w:color="auto"/>
              <w:bottom w:val="single" w:sz="4" w:space="0" w:color="auto"/>
              <w:right w:val="single" w:sz="4" w:space="0" w:color="auto"/>
            </w:tcBorders>
          </w:tcPr>
          <w:p w14:paraId="062578F0"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377A56F4"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4D09A465" w14:textId="77777777" w:rsidTr="00734574">
        <w:tc>
          <w:tcPr>
            <w:tcW w:w="5382" w:type="dxa"/>
            <w:tcBorders>
              <w:top w:val="single" w:sz="4" w:space="0" w:color="auto"/>
              <w:left w:val="single" w:sz="4" w:space="0" w:color="auto"/>
              <w:bottom w:val="single" w:sz="4" w:space="0" w:color="auto"/>
              <w:right w:val="single" w:sz="4" w:space="0" w:color="auto"/>
            </w:tcBorders>
          </w:tcPr>
          <w:p w14:paraId="623D9FAF"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Address and code of the Supplier (where a group of entities is participating, the addresses and codes of all participants are to be written)</w:t>
            </w:r>
          </w:p>
        </w:tc>
        <w:tc>
          <w:tcPr>
            <w:tcW w:w="4507" w:type="dxa"/>
            <w:tcBorders>
              <w:top w:val="single" w:sz="4" w:space="0" w:color="auto"/>
              <w:left w:val="single" w:sz="4" w:space="0" w:color="auto"/>
              <w:bottom w:val="single" w:sz="4" w:space="0" w:color="auto"/>
              <w:right w:val="single" w:sz="4" w:space="0" w:color="auto"/>
            </w:tcBorders>
          </w:tcPr>
          <w:p w14:paraId="1CC0B5DA"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25423F7B" w14:textId="77777777" w:rsidTr="00734574">
        <w:tc>
          <w:tcPr>
            <w:tcW w:w="5382" w:type="dxa"/>
            <w:tcBorders>
              <w:top w:val="single" w:sz="4" w:space="0" w:color="auto"/>
              <w:left w:val="single" w:sz="4" w:space="0" w:color="auto"/>
              <w:bottom w:val="single" w:sz="4" w:space="0" w:color="auto"/>
              <w:right w:val="single" w:sz="4" w:space="0" w:color="auto"/>
            </w:tcBorders>
          </w:tcPr>
          <w:p w14:paraId="142BC258"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Phone number</w:t>
            </w:r>
          </w:p>
        </w:tc>
        <w:tc>
          <w:tcPr>
            <w:tcW w:w="4507" w:type="dxa"/>
            <w:tcBorders>
              <w:top w:val="single" w:sz="4" w:space="0" w:color="auto"/>
              <w:left w:val="single" w:sz="4" w:space="0" w:color="auto"/>
              <w:bottom w:val="single" w:sz="4" w:space="0" w:color="auto"/>
              <w:right w:val="single" w:sz="4" w:space="0" w:color="auto"/>
            </w:tcBorders>
          </w:tcPr>
          <w:p w14:paraId="53C26372"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5ED91F41" w14:textId="77777777" w:rsidTr="00734574">
        <w:tc>
          <w:tcPr>
            <w:tcW w:w="5382" w:type="dxa"/>
            <w:tcBorders>
              <w:top w:val="single" w:sz="4" w:space="0" w:color="auto"/>
              <w:left w:val="single" w:sz="4" w:space="0" w:color="auto"/>
              <w:bottom w:val="single" w:sz="4" w:space="0" w:color="auto"/>
              <w:right w:val="single" w:sz="4" w:space="0" w:color="auto"/>
            </w:tcBorders>
          </w:tcPr>
          <w:p w14:paraId="40C95CB5"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rPr>
            </w:pPr>
            <w:r>
              <w:rPr>
                <w:rFonts w:ascii="Verdana" w:hAnsi="Verdana"/>
                <w:sz w:val="20"/>
              </w:rPr>
              <w:t>E-mail address</w:t>
            </w:r>
          </w:p>
        </w:tc>
        <w:tc>
          <w:tcPr>
            <w:tcW w:w="4507" w:type="dxa"/>
            <w:tcBorders>
              <w:top w:val="single" w:sz="4" w:space="0" w:color="auto"/>
              <w:left w:val="single" w:sz="4" w:space="0" w:color="auto"/>
              <w:bottom w:val="single" w:sz="4" w:space="0" w:color="auto"/>
              <w:right w:val="single" w:sz="4" w:space="0" w:color="auto"/>
            </w:tcBorders>
          </w:tcPr>
          <w:p w14:paraId="47B033D2"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15CEABB" w14:textId="77777777" w:rsidR="004A79FB" w:rsidRPr="0032182C" w:rsidRDefault="004A79FB" w:rsidP="00D75299">
      <w:pPr>
        <w:widowControl w:val="0"/>
        <w:autoSpaceDE w:val="0"/>
        <w:autoSpaceDN w:val="0"/>
        <w:adjustRightInd w:val="0"/>
        <w:spacing w:after="0" w:line="240" w:lineRule="auto"/>
        <w:ind w:firstLine="142"/>
        <w:jc w:val="both"/>
        <w:rPr>
          <w:rFonts w:ascii="Verdana" w:eastAsia="Times New Roman" w:hAnsi="Verdana"/>
          <w:sz w:val="20"/>
        </w:rPr>
      </w:pPr>
      <w:r>
        <w:rPr>
          <w:rFonts w:ascii="Verdana" w:hAnsi="Verdana"/>
          <w:sz w:val="20"/>
        </w:rPr>
        <w:t>We hereby certify that we have familiarised ourselves and agree with all the Procurement Conditions as laid down in:</w:t>
      </w:r>
    </w:p>
    <w:p w14:paraId="564AA24B" w14:textId="77777777" w:rsidR="004A79FB" w:rsidRPr="0032182C" w:rsidRDefault="00E50B52" w:rsidP="00C621F3">
      <w:pPr>
        <w:widowControl w:val="0"/>
        <w:numPr>
          <w:ilvl w:val="0"/>
          <w:numId w:val="31"/>
        </w:numPr>
        <w:autoSpaceDE w:val="0"/>
        <w:autoSpaceDN w:val="0"/>
        <w:adjustRightInd w:val="0"/>
        <w:spacing w:after="0" w:line="240" w:lineRule="auto"/>
        <w:jc w:val="both"/>
        <w:rPr>
          <w:rFonts w:ascii="Verdana" w:eastAsia="Times New Roman" w:hAnsi="Verdana"/>
          <w:sz w:val="20"/>
        </w:rPr>
      </w:pPr>
      <w:r>
        <w:rPr>
          <w:rFonts w:ascii="Verdana" w:hAnsi="Verdana"/>
          <w:sz w:val="20"/>
        </w:rPr>
        <w:t xml:space="preserve">the Procurement notice; </w:t>
      </w:r>
    </w:p>
    <w:p w14:paraId="6791C0CC" w14:textId="77777777" w:rsidR="004A79FB" w:rsidRPr="0032182C" w:rsidRDefault="00E50B52" w:rsidP="001223AF">
      <w:pPr>
        <w:widowControl w:val="0"/>
        <w:numPr>
          <w:ilvl w:val="0"/>
          <w:numId w:val="31"/>
        </w:numPr>
        <w:autoSpaceDE w:val="0"/>
        <w:autoSpaceDN w:val="0"/>
        <w:adjustRightInd w:val="0"/>
        <w:spacing w:after="60" w:line="240" w:lineRule="auto"/>
        <w:jc w:val="both"/>
        <w:rPr>
          <w:rFonts w:ascii="Verdana" w:eastAsia="Times New Roman" w:hAnsi="Verdana"/>
          <w:sz w:val="20"/>
        </w:rPr>
      </w:pPr>
      <w:r>
        <w:rPr>
          <w:rFonts w:ascii="Verdana" w:hAnsi="Verdana"/>
          <w:sz w:val="20"/>
        </w:rPr>
        <w:t>the Procurement Conditions, other Procurement Documents (their notes, supplements).</w:t>
      </w:r>
    </w:p>
    <w:p w14:paraId="5D40145D" w14:textId="70090EB6" w:rsidR="00D22DF1" w:rsidRPr="0032182C" w:rsidRDefault="00D22DF1" w:rsidP="00D22DF1">
      <w:pPr>
        <w:tabs>
          <w:tab w:val="left" w:pos="426"/>
        </w:tabs>
        <w:spacing w:after="0" w:line="240" w:lineRule="auto"/>
        <w:contextualSpacing/>
        <w:jc w:val="both"/>
        <w:rPr>
          <w:rFonts w:ascii="Verdana" w:hAnsi="Verdana"/>
          <w:sz w:val="20"/>
        </w:rPr>
      </w:pPr>
      <w:r>
        <w:rPr>
          <w:rFonts w:ascii="Verdana" w:hAnsi="Verdana"/>
          <w:sz w:val="20"/>
        </w:rPr>
        <w:t xml:space="preserve">The Supplier intends to engage the following entities, </w:t>
      </w:r>
      <w:proofErr w:type="spellStart"/>
      <w:r>
        <w:rPr>
          <w:rFonts w:ascii="Verdana" w:hAnsi="Verdana"/>
          <w:sz w:val="20"/>
        </w:rPr>
        <w:t>Subsuppliers</w:t>
      </w:r>
      <w:proofErr w:type="spellEnd"/>
      <w:r>
        <w:rPr>
          <w:rFonts w:ascii="Verdana" w:hAnsi="Verdana"/>
          <w:sz w:val="20"/>
        </w:rPr>
        <w:t xml:space="preserve"> or specialists*: </w:t>
      </w:r>
    </w:p>
    <w:tbl>
      <w:tblPr>
        <w:tblW w:w="9930" w:type="dxa"/>
        <w:tblInd w:w="-34" w:type="dxa"/>
        <w:tblLayout w:type="fixed"/>
        <w:tblLook w:val="04A0" w:firstRow="1" w:lastRow="0" w:firstColumn="1" w:lastColumn="0" w:noHBand="0" w:noVBand="1"/>
      </w:tblPr>
      <w:tblGrid>
        <w:gridCol w:w="5391"/>
        <w:gridCol w:w="4539"/>
      </w:tblGrid>
      <w:tr w:rsidR="00D22DF1" w:rsidRPr="0032182C" w14:paraId="2766E5B2"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7EBA1F7" w14:textId="26EAF2CB" w:rsidR="00D22DF1" w:rsidRPr="0032182C" w:rsidRDefault="008625A5" w:rsidP="00070CA6">
            <w:pPr>
              <w:autoSpaceDE w:val="0"/>
              <w:autoSpaceDN w:val="0"/>
              <w:adjustRightInd w:val="0"/>
              <w:spacing w:after="0" w:line="240" w:lineRule="auto"/>
              <w:rPr>
                <w:rFonts w:ascii="Verdana" w:hAnsi="Verdana"/>
                <w:color w:val="000000"/>
                <w:sz w:val="20"/>
              </w:rPr>
            </w:pPr>
            <w:r>
              <w:rPr>
                <w:rFonts w:ascii="Verdana" w:hAnsi="Verdana"/>
                <w:sz w:val="20"/>
              </w:rPr>
              <w:t>Name(s) and address(es) of the entity(s) on whose capacity the Supplier relies**</w:t>
            </w:r>
          </w:p>
        </w:tc>
        <w:tc>
          <w:tcPr>
            <w:tcW w:w="4539" w:type="dxa"/>
            <w:tcBorders>
              <w:top w:val="single" w:sz="4" w:space="0" w:color="auto"/>
              <w:left w:val="single" w:sz="4" w:space="0" w:color="auto"/>
              <w:bottom w:val="single" w:sz="4" w:space="0" w:color="auto"/>
              <w:right w:val="single" w:sz="4" w:space="0" w:color="auto"/>
            </w:tcBorders>
            <w:vAlign w:val="center"/>
          </w:tcPr>
          <w:p w14:paraId="4BEA2D5A" w14:textId="77777777" w:rsidR="00D22DF1" w:rsidRPr="0032182C" w:rsidRDefault="00D22DF1" w:rsidP="006D2E1C">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92273" w:rsidRPr="0032182C" w14:paraId="5E6F625B" w14:textId="77777777" w:rsidTr="00F92273">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14E67F6" w14:textId="2A32FB42" w:rsidR="00F92273" w:rsidRPr="0032182C" w:rsidRDefault="00F92273" w:rsidP="00070CA6">
            <w:pPr>
              <w:autoSpaceDE w:val="0"/>
              <w:autoSpaceDN w:val="0"/>
              <w:adjustRightInd w:val="0"/>
              <w:spacing w:after="0" w:line="240" w:lineRule="auto"/>
              <w:rPr>
                <w:rFonts w:ascii="Verdana" w:hAnsi="Verdana"/>
                <w:sz w:val="20"/>
              </w:rPr>
            </w:pPr>
            <w:r>
              <w:rPr>
                <w:rFonts w:ascii="Verdana" w:hAnsi="Verdana"/>
                <w:sz w:val="20"/>
              </w:rPr>
              <w:t xml:space="preserve">Name(s) and address(es) of </w:t>
            </w:r>
            <w:proofErr w:type="spellStart"/>
            <w:r>
              <w:rPr>
                <w:rFonts w:ascii="Verdana" w:hAnsi="Verdana"/>
                <w:sz w:val="20"/>
              </w:rPr>
              <w:t>Subsupplier</w:t>
            </w:r>
            <w:proofErr w:type="spellEnd"/>
            <w:r>
              <w:rPr>
                <w:rFonts w:ascii="Verdana" w:hAnsi="Verdana"/>
                <w:sz w:val="20"/>
              </w:rPr>
              <w:t>(s) on whose capacity the Supplier does not rely**</w:t>
            </w:r>
          </w:p>
        </w:tc>
        <w:tc>
          <w:tcPr>
            <w:tcW w:w="4539" w:type="dxa"/>
            <w:tcBorders>
              <w:top w:val="single" w:sz="4" w:space="0" w:color="auto"/>
              <w:left w:val="single" w:sz="4" w:space="0" w:color="auto"/>
              <w:bottom w:val="single" w:sz="4" w:space="0" w:color="auto"/>
              <w:right w:val="single" w:sz="4" w:space="0" w:color="auto"/>
            </w:tcBorders>
            <w:vAlign w:val="center"/>
          </w:tcPr>
          <w:p w14:paraId="77F71F0E" w14:textId="77777777" w:rsidR="00F92273" w:rsidRPr="0032182C" w:rsidRDefault="00F92273" w:rsidP="00D22271">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22DF1" w:rsidRPr="0032182C" w14:paraId="6A562438"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52A78E9F" w14:textId="54D17378" w:rsidR="00D22DF1" w:rsidRPr="0032182C" w:rsidRDefault="00D22DF1" w:rsidP="007F6B7C">
            <w:pPr>
              <w:autoSpaceDE w:val="0"/>
              <w:autoSpaceDN w:val="0"/>
              <w:adjustRightInd w:val="0"/>
              <w:spacing w:after="0" w:line="240" w:lineRule="auto"/>
              <w:jc w:val="both"/>
              <w:rPr>
                <w:rFonts w:ascii="Verdana" w:hAnsi="Verdana"/>
                <w:color w:val="000000"/>
                <w:sz w:val="20"/>
              </w:rPr>
            </w:pPr>
            <w:r>
              <w:rPr>
                <w:rFonts w:ascii="Verdana" w:hAnsi="Verdana"/>
                <w:sz w:val="20"/>
              </w:rPr>
              <w:t>Specialist(s) who will be used but who are not employees of the Supplier or of the entity(s) on whose capacity the Supplier relies at the time of submission of the Tender, but who would be employed in the event of the award of the contract (Quasi-</w:t>
            </w:r>
            <w:proofErr w:type="spellStart"/>
            <w:r>
              <w:rPr>
                <w:rFonts w:ascii="Verdana" w:hAnsi="Verdana"/>
                <w:sz w:val="20"/>
              </w:rPr>
              <w:t>subsuppliers</w:t>
            </w:r>
            <w:proofErr w:type="spellEnd"/>
            <w:r>
              <w:rPr>
                <w:rFonts w:ascii="Verdana" w:hAnsi="Verdana"/>
                <w:sz w:val="20"/>
              </w:rPr>
              <w:t>(s))</w:t>
            </w:r>
            <w:r>
              <w:rPr>
                <w:rFonts w:ascii="Verdana" w:hAnsi="Verdana"/>
                <w:color w:val="000000"/>
                <w:sz w:val="20"/>
              </w:rPr>
              <w:t xml:space="preserve"> </w:t>
            </w:r>
          </w:p>
        </w:tc>
        <w:tc>
          <w:tcPr>
            <w:tcW w:w="4539" w:type="dxa"/>
            <w:tcBorders>
              <w:top w:val="single" w:sz="4" w:space="0" w:color="auto"/>
              <w:left w:val="single" w:sz="4" w:space="0" w:color="auto"/>
              <w:bottom w:val="single" w:sz="4" w:space="0" w:color="auto"/>
              <w:right w:val="single" w:sz="4" w:space="0" w:color="auto"/>
            </w:tcBorders>
          </w:tcPr>
          <w:p w14:paraId="489DE412" w14:textId="77777777" w:rsidR="00D22DF1" w:rsidRPr="0032182C"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22DF1" w:rsidRPr="0032182C" w14:paraId="103DECFE"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0AD54890" w14:textId="7C1F076C" w:rsidR="00D22DF1" w:rsidRPr="0032182C" w:rsidRDefault="00D22DF1" w:rsidP="007F6B7C">
            <w:pPr>
              <w:autoSpaceDE w:val="0"/>
              <w:autoSpaceDN w:val="0"/>
              <w:adjustRightInd w:val="0"/>
              <w:spacing w:after="0" w:line="240" w:lineRule="auto"/>
              <w:jc w:val="both"/>
              <w:rPr>
                <w:rFonts w:ascii="Verdana" w:hAnsi="Verdana"/>
                <w:color w:val="000000"/>
                <w:sz w:val="20"/>
              </w:rPr>
            </w:pPr>
            <w:r>
              <w:rPr>
                <w:rFonts w:ascii="Verdana" w:hAnsi="Verdana"/>
                <w:sz w:val="20"/>
              </w:rPr>
              <w:t xml:space="preserve">Part of the obligations (specifying the specific obligations assumed under the Procurement contract) for which the entity(s), </w:t>
            </w:r>
            <w:proofErr w:type="spellStart"/>
            <w:r>
              <w:rPr>
                <w:rFonts w:ascii="Verdana" w:hAnsi="Verdana"/>
                <w:sz w:val="20"/>
              </w:rPr>
              <w:t>Subsupplier</w:t>
            </w:r>
            <w:proofErr w:type="spellEnd"/>
            <w:r>
              <w:rPr>
                <w:rFonts w:ascii="Verdana" w:hAnsi="Verdana"/>
                <w:sz w:val="20"/>
              </w:rPr>
              <w:t>(s) or specialist(s) will be used</w:t>
            </w:r>
          </w:p>
        </w:tc>
        <w:tc>
          <w:tcPr>
            <w:tcW w:w="4539" w:type="dxa"/>
            <w:tcBorders>
              <w:top w:val="single" w:sz="4" w:space="0" w:color="auto"/>
              <w:left w:val="single" w:sz="4" w:space="0" w:color="auto"/>
              <w:bottom w:val="single" w:sz="4" w:space="0" w:color="auto"/>
              <w:right w:val="single" w:sz="4" w:space="0" w:color="auto"/>
            </w:tcBorders>
          </w:tcPr>
          <w:p w14:paraId="03D0B2C9" w14:textId="77777777" w:rsidR="00D22DF1" w:rsidRPr="0032182C"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263D6400" w14:textId="393C3ABA" w:rsidR="00D22DF1" w:rsidRPr="0032182C" w:rsidRDefault="000F4777" w:rsidP="00D22DF1">
      <w:pPr>
        <w:spacing w:after="0" w:line="240" w:lineRule="auto"/>
        <w:ind w:right="-108" w:firstLine="709"/>
        <w:jc w:val="both"/>
        <w:rPr>
          <w:rFonts w:ascii="Verdana" w:hAnsi="Verdana"/>
          <w:i/>
          <w:iCs/>
          <w:sz w:val="20"/>
        </w:rPr>
      </w:pPr>
      <w:r>
        <w:rPr>
          <w:rFonts w:ascii="Verdana" w:hAnsi="Verdana"/>
          <w:sz w:val="20"/>
          <w:vertAlign w:val="superscript"/>
        </w:rPr>
        <w:t xml:space="preserve">  </w:t>
      </w:r>
      <w:r>
        <w:rPr>
          <w:rFonts w:ascii="Verdana" w:hAnsi="Verdana"/>
          <w:i/>
          <w:iCs/>
          <w:sz w:val="20"/>
        </w:rPr>
        <w:t xml:space="preserve">*To be completed if entities, </w:t>
      </w:r>
      <w:proofErr w:type="spellStart"/>
      <w:r>
        <w:rPr>
          <w:rFonts w:ascii="Verdana" w:hAnsi="Verdana"/>
          <w:i/>
          <w:iCs/>
          <w:sz w:val="20"/>
        </w:rPr>
        <w:t>Subsuppliers</w:t>
      </w:r>
      <w:proofErr w:type="spellEnd"/>
      <w:r>
        <w:rPr>
          <w:rFonts w:ascii="Verdana" w:hAnsi="Verdana"/>
          <w:i/>
          <w:iCs/>
          <w:sz w:val="20"/>
        </w:rPr>
        <w:t xml:space="preserve"> or specialists are to be engaged</w:t>
      </w:r>
    </w:p>
    <w:p w14:paraId="22E9756F" w14:textId="77777777" w:rsidR="008B7E95" w:rsidRDefault="00D22DF1" w:rsidP="00E83048">
      <w:pPr>
        <w:spacing w:after="60" w:line="240" w:lineRule="auto"/>
        <w:ind w:right="-108" w:firstLine="709"/>
        <w:jc w:val="both"/>
        <w:rPr>
          <w:rFonts w:ascii="Verdana" w:hAnsi="Verdana"/>
          <w:i/>
          <w:sz w:val="20"/>
        </w:rPr>
      </w:pPr>
      <w:r>
        <w:rPr>
          <w:rFonts w:ascii="Verdana" w:hAnsi="Verdana"/>
          <w:i/>
          <w:sz w:val="20"/>
        </w:rPr>
        <w:t xml:space="preserve"> **If entities, specialists (except for Quasi-</w:t>
      </w:r>
      <w:proofErr w:type="spellStart"/>
      <w:r>
        <w:rPr>
          <w:rFonts w:ascii="Verdana" w:hAnsi="Verdana"/>
          <w:i/>
          <w:sz w:val="20"/>
        </w:rPr>
        <w:t>subsuppliers</w:t>
      </w:r>
      <w:proofErr w:type="spellEnd"/>
      <w:r>
        <w:rPr>
          <w:rFonts w:ascii="Verdana" w:hAnsi="Verdana"/>
          <w:i/>
          <w:sz w:val="20"/>
        </w:rPr>
        <w:t xml:space="preserve">) whose capacities will be relied upon to prove the Supplier’s qualifications, and (if applicable) the </w:t>
      </w:r>
      <w:proofErr w:type="spellStart"/>
      <w:r>
        <w:rPr>
          <w:rFonts w:ascii="Verdana" w:hAnsi="Verdana"/>
          <w:i/>
          <w:sz w:val="20"/>
        </w:rPr>
        <w:t>Subsupplier</w:t>
      </w:r>
      <w:proofErr w:type="spellEnd"/>
      <w:r>
        <w:rPr>
          <w:rFonts w:ascii="Verdana" w:hAnsi="Verdana"/>
          <w:i/>
          <w:sz w:val="20"/>
        </w:rPr>
        <w:t xml:space="preserve">(s) whose capacities are not relied upon by the Supplier are engaged, </w:t>
      </w:r>
      <w:r>
        <w:rPr>
          <w:rFonts w:ascii="Verdana" w:hAnsi="Verdana"/>
          <w:b/>
          <w:bCs/>
          <w:i/>
          <w:sz w:val="20"/>
        </w:rPr>
        <w:t>submit the ESPD completed for these entities</w:t>
      </w:r>
      <w:r>
        <w:rPr>
          <w:rFonts w:ascii="Verdana" w:hAnsi="Verdana"/>
          <w:i/>
          <w:sz w:val="20"/>
        </w:rPr>
        <w:t>.</w:t>
      </w:r>
    </w:p>
    <w:p w14:paraId="6263C282" w14:textId="77777777" w:rsidR="008B7E95" w:rsidRDefault="008B7E95" w:rsidP="00E83048">
      <w:pPr>
        <w:spacing w:after="60" w:line="240" w:lineRule="auto"/>
        <w:ind w:right="-108" w:firstLine="709"/>
        <w:jc w:val="both"/>
        <w:rPr>
          <w:rFonts w:ascii="Verdana" w:hAnsi="Verdana"/>
          <w:b/>
          <w:i/>
          <w:sz w:val="20"/>
        </w:rPr>
      </w:pPr>
    </w:p>
    <w:p w14:paraId="6B2CA07A" w14:textId="77777777" w:rsidR="008B7E95" w:rsidRDefault="008B7E95" w:rsidP="00E83048">
      <w:pPr>
        <w:spacing w:after="60" w:line="240" w:lineRule="auto"/>
        <w:ind w:right="-108" w:firstLine="709"/>
        <w:jc w:val="both"/>
        <w:rPr>
          <w:rFonts w:ascii="Verdana" w:hAnsi="Verdana"/>
          <w:b/>
          <w:i/>
          <w:sz w:val="20"/>
        </w:rPr>
      </w:pPr>
    </w:p>
    <w:p w14:paraId="025B4CA6" w14:textId="77777777" w:rsidR="008B7E95" w:rsidRDefault="008B7E95" w:rsidP="00E83048">
      <w:pPr>
        <w:spacing w:after="60" w:line="240" w:lineRule="auto"/>
        <w:ind w:right="-108" w:firstLine="709"/>
        <w:jc w:val="both"/>
        <w:rPr>
          <w:rFonts w:ascii="Verdana" w:hAnsi="Verdana"/>
          <w:b/>
          <w:i/>
          <w:sz w:val="20"/>
        </w:rPr>
      </w:pPr>
    </w:p>
    <w:p w14:paraId="7D4EC148" w14:textId="77777777" w:rsidR="008B7E95" w:rsidRDefault="008B7E95" w:rsidP="00E83048">
      <w:pPr>
        <w:spacing w:after="60" w:line="240" w:lineRule="auto"/>
        <w:ind w:right="-108" w:firstLine="709"/>
        <w:jc w:val="both"/>
        <w:rPr>
          <w:rFonts w:ascii="Verdana" w:hAnsi="Verdana"/>
          <w:b/>
          <w:i/>
          <w:sz w:val="20"/>
        </w:rPr>
      </w:pPr>
    </w:p>
    <w:p w14:paraId="7DE56E92" w14:textId="77777777" w:rsidR="008B7E95" w:rsidRDefault="008B7E95" w:rsidP="00E83048">
      <w:pPr>
        <w:spacing w:after="60" w:line="240" w:lineRule="auto"/>
        <w:ind w:right="-108" w:firstLine="709"/>
        <w:jc w:val="both"/>
        <w:rPr>
          <w:rFonts w:ascii="Verdana" w:hAnsi="Verdana"/>
          <w:b/>
          <w:i/>
          <w:sz w:val="20"/>
        </w:rPr>
      </w:pPr>
    </w:p>
    <w:p w14:paraId="111859EC" w14:textId="5159D24B" w:rsidR="00393E50" w:rsidRPr="00734574" w:rsidRDefault="00D22DF1" w:rsidP="00E83048">
      <w:pPr>
        <w:spacing w:after="60" w:line="240" w:lineRule="auto"/>
        <w:ind w:right="-108" w:firstLine="709"/>
        <w:jc w:val="both"/>
        <w:rPr>
          <w:rFonts w:ascii="Verdana" w:hAnsi="Verdana"/>
          <w:b/>
          <w:i/>
          <w:iCs/>
          <w:sz w:val="20"/>
        </w:rPr>
      </w:pPr>
      <w:r>
        <w:rPr>
          <w:rFonts w:ascii="Verdana" w:hAnsi="Verdana"/>
          <w:b/>
          <w:i/>
          <w:sz w:val="20"/>
        </w:rPr>
        <w:t xml:space="preserve"> </w:t>
      </w:r>
    </w:p>
    <w:tbl>
      <w:tblPr>
        <w:tblStyle w:val="TableGrid"/>
        <w:tblW w:w="0" w:type="auto"/>
        <w:tblInd w:w="-5" w:type="dxa"/>
        <w:tblLook w:val="04A0" w:firstRow="1" w:lastRow="0" w:firstColumn="1" w:lastColumn="0" w:noHBand="0" w:noVBand="1"/>
      </w:tblPr>
      <w:tblGrid>
        <w:gridCol w:w="761"/>
        <w:gridCol w:w="2068"/>
        <w:gridCol w:w="1744"/>
        <w:gridCol w:w="1348"/>
        <w:gridCol w:w="1231"/>
        <w:gridCol w:w="977"/>
        <w:gridCol w:w="1647"/>
      </w:tblGrid>
      <w:tr w:rsidR="00393E50" w:rsidRPr="0032182C" w14:paraId="56E04214" w14:textId="77777777" w:rsidTr="008B7E95">
        <w:tc>
          <w:tcPr>
            <w:tcW w:w="567" w:type="dxa"/>
            <w:shd w:val="clear" w:color="auto" w:fill="DBE5F1" w:themeFill="accent1" w:themeFillTint="33"/>
            <w:vAlign w:val="center"/>
          </w:tcPr>
          <w:p w14:paraId="6AF53683" w14:textId="77777777" w:rsidR="00393E50" w:rsidRPr="0032182C" w:rsidRDefault="00393E50" w:rsidP="00C41820">
            <w:pPr>
              <w:spacing w:after="0" w:line="240" w:lineRule="auto"/>
              <w:jc w:val="center"/>
              <w:rPr>
                <w:rFonts w:ascii="Verdana" w:hAnsi="Verdana"/>
                <w:b/>
                <w:sz w:val="20"/>
              </w:rPr>
            </w:pPr>
            <w:r>
              <w:rPr>
                <w:rFonts w:ascii="Verdana" w:hAnsi="Verdana"/>
                <w:b/>
                <w:sz w:val="20"/>
              </w:rPr>
              <w:lastRenderedPageBreak/>
              <w:t>Item No</w:t>
            </w:r>
          </w:p>
        </w:tc>
        <w:tc>
          <w:tcPr>
            <w:tcW w:w="2134" w:type="dxa"/>
            <w:shd w:val="clear" w:color="auto" w:fill="DBE5F1" w:themeFill="accent1" w:themeFillTint="33"/>
            <w:vAlign w:val="center"/>
          </w:tcPr>
          <w:p w14:paraId="5C39269D" w14:textId="77777777" w:rsidR="00393E50" w:rsidRPr="0032182C" w:rsidRDefault="00393E50" w:rsidP="00C41820">
            <w:pPr>
              <w:spacing w:after="0" w:line="240" w:lineRule="auto"/>
              <w:jc w:val="center"/>
              <w:rPr>
                <w:rFonts w:ascii="Verdana" w:hAnsi="Verdana"/>
                <w:b/>
                <w:sz w:val="20"/>
              </w:rPr>
            </w:pPr>
            <w:r>
              <w:rPr>
                <w:rFonts w:ascii="Verdana" w:hAnsi="Verdana"/>
                <w:b/>
                <w:sz w:val="20"/>
              </w:rPr>
              <w:t>Description</w:t>
            </w:r>
          </w:p>
        </w:tc>
        <w:tc>
          <w:tcPr>
            <w:tcW w:w="1744" w:type="dxa"/>
            <w:shd w:val="clear" w:color="auto" w:fill="DBE5F1" w:themeFill="accent1" w:themeFillTint="33"/>
            <w:vAlign w:val="center"/>
          </w:tcPr>
          <w:p w14:paraId="178B4BF3" w14:textId="77777777" w:rsidR="00393E50" w:rsidRPr="0032182C" w:rsidRDefault="00393E50" w:rsidP="00C41820">
            <w:pPr>
              <w:spacing w:after="0" w:line="240" w:lineRule="auto"/>
              <w:jc w:val="center"/>
              <w:rPr>
                <w:rFonts w:ascii="Verdana" w:hAnsi="Verdana"/>
                <w:b/>
                <w:sz w:val="20"/>
              </w:rPr>
            </w:pPr>
            <w:r>
              <w:rPr>
                <w:rFonts w:ascii="Verdana" w:hAnsi="Verdana"/>
                <w:b/>
                <w:sz w:val="20"/>
              </w:rPr>
              <w:t>Measurement unit</w:t>
            </w:r>
          </w:p>
        </w:tc>
        <w:tc>
          <w:tcPr>
            <w:tcW w:w="1367" w:type="dxa"/>
            <w:shd w:val="clear" w:color="auto" w:fill="DBE5F1" w:themeFill="accent1" w:themeFillTint="33"/>
            <w:vAlign w:val="center"/>
          </w:tcPr>
          <w:p w14:paraId="55ED66DE" w14:textId="77777777" w:rsidR="00393E50" w:rsidRPr="0032182C" w:rsidRDefault="00393E50" w:rsidP="00C41820">
            <w:pPr>
              <w:spacing w:after="0" w:line="240" w:lineRule="auto"/>
              <w:jc w:val="center"/>
              <w:rPr>
                <w:rFonts w:ascii="Verdana" w:hAnsi="Verdana"/>
                <w:b/>
                <w:sz w:val="20"/>
              </w:rPr>
            </w:pPr>
            <w:r>
              <w:rPr>
                <w:rFonts w:ascii="Verdana" w:hAnsi="Verdana"/>
                <w:b/>
                <w:sz w:val="20"/>
              </w:rPr>
              <w:t>Quantity</w:t>
            </w:r>
          </w:p>
        </w:tc>
        <w:tc>
          <w:tcPr>
            <w:tcW w:w="1276" w:type="dxa"/>
            <w:shd w:val="clear" w:color="auto" w:fill="DBE5F1" w:themeFill="accent1" w:themeFillTint="33"/>
            <w:vAlign w:val="center"/>
          </w:tcPr>
          <w:p w14:paraId="0F903854" w14:textId="17AA35A4" w:rsidR="00393E50" w:rsidRPr="0032182C" w:rsidRDefault="00393E50" w:rsidP="00C41820">
            <w:pPr>
              <w:spacing w:after="0" w:line="240" w:lineRule="auto"/>
              <w:jc w:val="center"/>
              <w:rPr>
                <w:rFonts w:ascii="Verdana" w:hAnsi="Verdana"/>
                <w:b/>
                <w:sz w:val="20"/>
              </w:rPr>
            </w:pPr>
            <w:r>
              <w:rPr>
                <w:rFonts w:ascii="Verdana" w:hAnsi="Verdana"/>
                <w:b/>
                <w:sz w:val="20"/>
              </w:rPr>
              <w:t>Unit price, EUR (excl. VAT)</w:t>
            </w:r>
          </w:p>
        </w:tc>
        <w:tc>
          <w:tcPr>
            <w:tcW w:w="992" w:type="dxa"/>
            <w:shd w:val="clear" w:color="auto" w:fill="DBE5F1" w:themeFill="accent1" w:themeFillTint="33"/>
            <w:vAlign w:val="center"/>
          </w:tcPr>
          <w:p w14:paraId="2ACDB4A6" w14:textId="444A29B4" w:rsidR="00393E50" w:rsidRPr="0032182C" w:rsidRDefault="00393E50" w:rsidP="00C41820">
            <w:pPr>
              <w:spacing w:after="0" w:line="240" w:lineRule="auto"/>
              <w:jc w:val="center"/>
              <w:rPr>
                <w:rFonts w:ascii="Verdana" w:hAnsi="Verdana"/>
                <w:b/>
                <w:sz w:val="20"/>
              </w:rPr>
            </w:pPr>
            <w:r>
              <w:rPr>
                <w:rFonts w:ascii="Verdana" w:hAnsi="Verdana"/>
                <w:b/>
                <w:sz w:val="20"/>
              </w:rPr>
              <w:t>Unit price, EUR (incl. VAT)</w:t>
            </w:r>
          </w:p>
        </w:tc>
        <w:tc>
          <w:tcPr>
            <w:tcW w:w="1696" w:type="dxa"/>
            <w:shd w:val="clear" w:color="auto" w:fill="DBE5F1" w:themeFill="accent1" w:themeFillTint="33"/>
            <w:vAlign w:val="center"/>
          </w:tcPr>
          <w:p w14:paraId="06D9AF02" w14:textId="48247E03" w:rsidR="00393E50" w:rsidRDefault="00393E50" w:rsidP="00C41820">
            <w:pPr>
              <w:spacing w:after="0" w:line="240" w:lineRule="auto"/>
              <w:jc w:val="center"/>
              <w:rPr>
                <w:rFonts w:ascii="Verdana" w:hAnsi="Verdana"/>
                <w:b/>
                <w:sz w:val="20"/>
              </w:rPr>
            </w:pPr>
            <w:r>
              <w:rPr>
                <w:rFonts w:ascii="Verdana" w:hAnsi="Verdana"/>
                <w:b/>
                <w:sz w:val="20"/>
              </w:rPr>
              <w:t>Price of total quantity, EUR (excl. VAT)</w:t>
            </w:r>
          </w:p>
          <w:p w14:paraId="30981EBF" w14:textId="1E2C354E" w:rsidR="00C6561F" w:rsidRPr="0032182C" w:rsidRDefault="00C6561F" w:rsidP="00C41820">
            <w:pPr>
              <w:spacing w:after="0" w:line="240" w:lineRule="auto"/>
              <w:jc w:val="center"/>
              <w:rPr>
                <w:rFonts w:ascii="Verdana" w:hAnsi="Verdana"/>
                <w:b/>
                <w:sz w:val="20"/>
              </w:rPr>
            </w:pPr>
            <w:r>
              <w:rPr>
                <w:rFonts w:ascii="Verdana" w:hAnsi="Verdana"/>
                <w:b/>
                <w:sz w:val="20"/>
              </w:rPr>
              <w:t>(4x5)</w:t>
            </w:r>
          </w:p>
        </w:tc>
      </w:tr>
      <w:tr w:rsidR="003F5292" w:rsidRPr="0032182C" w14:paraId="47A4E08F" w14:textId="77777777" w:rsidTr="008B7E95">
        <w:tc>
          <w:tcPr>
            <w:tcW w:w="567" w:type="dxa"/>
            <w:vAlign w:val="center"/>
          </w:tcPr>
          <w:p w14:paraId="025CB7FC" w14:textId="18CB9302" w:rsidR="003F5292" w:rsidRPr="00C6561F" w:rsidRDefault="00DE3BA3" w:rsidP="00C41820">
            <w:pPr>
              <w:spacing w:after="0" w:line="240" w:lineRule="auto"/>
              <w:jc w:val="center"/>
              <w:rPr>
                <w:rFonts w:ascii="Verdana" w:hAnsi="Verdana"/>
                <w:b/>
                <w:sz w:val="16"/>
                <w:szCs w:val="16"/>
              </w:rPr>
            </w:pPr>
            <w:r>
              <w:rPr>
                <w:rFonts w:ascii="Verdana" w:hAnsi="Verdana"/>
                <w:b/>
                <w:sz w:val="16"/>
              </w:rPr>
              <w:t>1</w:t>
            </w:r>
          </w:p>
        </w:tc>
        <w:tc>
          <w:tcPr>
            <w:tcW w:w="2134" w:type="dxa"/>
            <w:vAlign w:val="center"/>
          </w:tcPr>
          <w:p w14:paraId="3A0AF984" w14:textId="54D3676D" w:rsidR="003F5292" w:rsidRPr="00C6561F" w:rsidRDefault="00DE3BA3" w:rsidP="00C41820">
            <w:pPr>
              <w:spacing w:after="0" w:line="240" w:lineRule="auto"/>
              <w:jc w:val="center"/>
              <w:rPr>
                <w:rFonts w:ascii="Verdana" w:hAnsi="Verdana"/>
                <w:b/>
                <w:sz w:val="16"/>
                <w:szCs w:val="16"/>
              </w:rPr>
            </w:pPr>
            <w:r>
              <w:rPr>
                <w:rFonts w:ascii="Verdana" w:hAnsi="Verdana"/>
                <w:b/>
                <w:sz w:val="16"/>
              </w:rPr>
              <w:t>2</w:t>
            </w:r>
          </w:p>
        </w:tc>
        <w:tc>
          <w:tcPr>
            <w:tcW w:w="1744" w:type="dxa"/>
            <w:vAlign w:val="center"/>
          </w:tcPr>
          <w:p w14:paraId="521314EC" w14:textId="4D33A72D" w:rsidR="003F5292" w:rsidRPr="00C6561F" w:rsidRDefault="00DE3BA3" w:rsidP="00C41820">
            <w:pPr>
              <w:spacing w:after="0" w:line="240" w:lineRule="auto"/>
              <w:jc w:val="center"/>
              <w:rPr>
                <w:rFonts w:ascii="Verdana" w:hAnsi="Verdana"/>
                <w:b/>
                <w:sz w:val="16"/>
                <w:szCs w:val="16"/>
              </w:rPr>
            </w:pPr>
            <w:r>
              <w:rPr>
                <w:rFonts w:ascii="Verdana" w:hAnsi="Verdana"/>
                <w:b/>
                <w:sz w:val="16"/>
              </w:rPr>
              <w:t>3</w:t>
            </w:r>
          </w:p>
        </w:tc>
        <w:tc>
          <w:tcPr>
            <w:tcW w:w="1367" w:type="dxa"/>
            <w:vAlign w:val="center"/>
          </w:tcPr>
          <w:p w14:paraId="411675A8" w14:textId="51A13660" w:rsidR="003F5292" w:rsidRPr="00C6561F" w:rsidRDefault="00DE3BA3" w:rsidP="00C41820">
            <w:pPr>
              <w:spacing w:after="0" w:line="240" w:lineRule="auto"/>
              <w:jc w:val="center"/>
              <w:rPr>
                <w:rFonts w:ascii="Verdana" w:hAnsi="Verdana"/>
                <w:b/>
                <w:sz w:val="16"/>
                <w:szCs w:val="16"/>
              </w:rPr>
            </w:pPr>
            <w:r>
              <w:rPr>
                <w:rFonts w:ascii="Verdana" w:hAnsi="Verdana"/>
                <w:b/>
                <w:sz w:val="16"/>
              </w:rPr>
              <w:t>4</w:t>
            </w:r>
          </w:p>
        </w:tc>
        <w:tc>
          <w:tcPr>
            <w:tcW w:w="1276" w:type="dxa"/>
            <w:vAlign w:val="center"/>
          </w:tcPr>
          <w:p w14:paraId="15AC724B" w14:textId="30AFD03A" w:rsidR="003F5292" w:rsidRPr="00C6561F" w:rsidRDefault="00DE3BA3" w:rsidP="00C41820">
            <w:pPr>
              <w:spacing w:after="0" w:line="240" w:lineRule="auto"/>
              <w:jc w:val="center"/>
              <w:rPr>
                <w:rFonts w:ascii="Verdana" w:hAnsi="Verdana"/>
                <w:b/>
                <w:sz w:val="16"/>
                <w:szCs w:val="16"/>
              </w:rPr>
            </w:pPr>
            <w:r>
              <w:rPr>
                <w:rFonts w:ascii="Verdana" w:hAnsi="Verdana"/>
                <w:b/>
                <w:sz w:val="16"/>
              </w:rPr>
              <w:t>5</w:t>
            </w:r>
          </w:p>
        </w:tc>
        <w:tc>
          <w:tcPr>
            <w:tcW w:w="992" w:type="dxa"/>
            <w:vAlign w:val="center"/>
          </w:tcPr>
          <w:p w14:paraId="13A96CEF" w14:textId="63D40242" w:rsidR="003F5292" w:rsidRPr="00C6561F" w:rsidRDefault="00DE3BA3" w:rsidP="00C41820">
            <w:pPr>
              <w:spacing w:after="0" w:line="240" w:lineRule="auto"/>
              <w:jc w:val="center"/>
              <w:rPr>
                <w:rFonts w:ascii="Verdana" w:hAnsi="Verdana"/>
                <w:b/>
                <w:sz w:val="16"/>
                <w:szCs w:val="16"/>
              </w:rPr>
            </w:pPr>
            <w:r>
              <w:rPr>
                <w:rFonts w:ascii="Verdana" w:hAnsi="Verdana"/>
                <w:b/>
                <w:sz w:val="16"/>
              </w:rPr>
              <w:t>6</w:t>
            </w:r>
          </w:p>
        </w:tc>
        <w:tc>
          <w:tcPr>
            <w:tcW w:w="1696" w:type="dxa"/>
            <w:vAlign w:val="center"/>
          </w:tcPr>
          <w:p w14:paraId="65C4BD73" w14:textId="576778DD" w:rsidR="003F5292" w:rsidRPr="00C6561F" w:rsidRDefault="00DE3BA3" w:rsidP="00C41820">
            <w:pPr>
              <w:spacing w:after="0" w:line="240" w:lineRule="auto"/>
              <w:jc w:val="center"/>
              <w:rPr>
                <w:rFonts w:ascii="Verdana" w:hAnsi="Verdana"/>
                <w:b/>
                <w:sz w:val="16"/>
                <w:szCs w:val="16"/>
              </w:rPr>
            </w:pPr>
            <w:r>
              <w:rPr>
                <w:rFonts w:ascii="Verdana" w:hAnsi="Verdana"/>
                <w:b/>
                <w:sz w:val="16"/>
              </w:rPr>
              <w:t>7</w:t>
            </w:r>
          </w:p>
        </w:tc>
      </w:tr>
      <w:tr w:rsidR="00393E50" w:rsidRPr="0032182C" w14:paraId="7D80740B" w14:textId="77777777" w:rsidTr="008B7E95">
        <w:tc>
          <w:tcPr>
            <w:tcW w:w="567" w:type="dxa"/>
            <w:vAlign w:val="center"/>
          </w:tcPr>
          <w:p w14:paraId="7453D80C" w14:textId="77777777" w:rsidR="00393E50" w:rsidRPr="0032182C" w:rsidRDefault="00393E50" w:rsidP="00C41820">
            <w:pPr>
              <w:spacing w:after="0" w:line="240" w:lineRule="auto"/>
              <w:rPr>
                <w:rFonts w:ascii="Verdana" w:hAnsi="Verdana"/>
                <w:bCs/>
                <w:sz w:val="20"/>
              </w:rPr>
            </w:pPr>
            <w:r>
              <w:rPr>
                <w:rFonts w:ascii="Verdana" w:hAnsi="Verdana"/>
                <w:sz w:val="20"/>
              </w:rPr>
              <w:t>1</w:t>
            </w:r>
            <w:r>
              <w:rPr>
                <w:rFonts w:ascii="Verdana" w:hAnsi="Verdana"/>
                <w:i/>
                <w:iCs/>
                <w:sz w:val="20"/>
              </w:rPr>
              <w:t>.</w:t>
            </w:r>
          </w:p>
        </w:tc>
        <w:tc>
          <w:tcPr>
            <w:tcW w:w="2134" w:type="dxa"/>
            <w:vAlign w:val="center"/>
          </w:tcPr>
          <w:p w14:paraId="4F943BF2" w14:textId="77777777" w:rsidR="00393E50" w:rsidRPr="0032182C" w:rsidRDefault="00393E50" w:rsidP="00C41820">
            <w:pPr>
              <w:spacing w:after="0" w:line="240" w:lineRule="auto"/>
              <w:rPr>
                <w:rFonts w:ascii="Verdana" w:hAnsi="Verdana"/>
                <w:bCs/>
                <w:sz w:val="20"/>
              </w:rPr>
            </w:pPr>
            <w:r>
              <w:rPr>
                <w:rFonts w:ascii="Verdana" w:hAnsi="Verdana"/>
                <w:sz w:val="20"/>
              </w:rPr>
              <w:t>CENTROlink System insurance services</w:t>
            </w:r>
          </w:p>
        </w:tc>
        <w:tc>
          <w:tcPr>
            <w:tcW w:w="1744" w:type="dxa"/>
            <w:vAlign w:val="center"/>
          </w:tcPr>
          <w:p w14:paraId="04CC88DC" w14:textId="77777777" w:rsidR="00393E50" w:rsidRPr="0032182C" w:rsidRDefault="00393E50" w:rsidP="00C41820">
            <w:pPr>
              <w:spacing w:after="0" w:line="240" w:lineRule="auto"/>
              <w:jc w:val="center"/>
              <w:rPr>
                <w:rFonts w:ascii="Verdana" w:hAnsi="Verdana"/>
                <w:bCs/>
                <w:sz w:val="20"/>
              </w:rPr>
            </w:pPr>
            <w:r>
              <w:rPr>
                <w:rFonts w:ascii="Verdana" w:hAnsi="Verdana"/>
                <w:sz w:val="20"/>
              </w:rPr>
              <w:t>Month</w:t>
            </w:r>
          </w:p>
        </w:tc>
        <w:tc>
          <w:tcPr>
            <w:tcW w:w="1367" w:type="dxa"/>
            <w:vAlign w:val="center"/>
          </w:tcPr>
          <w:p w14:paraId="35AB2083" w14:textId="77777777" w:rsidR="00393E50" w:rsidRPr="0032182C" w:rsidRDefault="00393E50" w:rsidP="00C41820">
            <w:pPr>
              <w:spacing w:after="0" w:line="240" w:lineRule="auto"/>
              <w:jc w:val="center"/>
              <w:rPr>
                <w:rFonts w:ascii="Verdana" w:hAnsi="Verdana"/>
                <w:bCs/>
                <w:sz w:val="20"/>
              </w:rPr>
            </w:pPr>
            <w:r>
              <w:rPr>
                <w:rFonts w:ascii="Verdana" w:hAnsi="Verdana"/>
                <w:sz w:val="20"/>
              </w:rPr>
              <w:t>12</w:t>
            </w:r>
          </w:p>
        </w:tc>
        <w:tc>
          <w:tcPr>
            <w:tcW w:w="1276" w:type="dxa"/>
            <w:vAlign w:val="center"/>
          </w:tcPr>
          <w:p w14:paraId="010B0B19" w14:textId="77777777" w:rsidR="00393E50" w:rsidRPr="0032182C" w:rsidRDefault="00393E50" w:rsidP="00C41820">
            <w:pPr>
              <w:spacing w:after="0" w:line="240" w:lineRule="auto"/>
              <w:rPr>
                <w:rFonts w:ascii="Verdana" w:hAnsi="Verdana"/>
                <w:bCs/>
                <w:sz w:val="20"/>
              </w:rPr>
            </w:pPr>
          </w:p>
        </w:tc>
        <w:tc>
          <w:tcPr>
            <w:tcW w:w="992" w:type="dxa"/>
            <w:vAlign w:val="center"/>
          </w:tcPr>
          <w:p w14:paraId="1FB578D4" w14:textId="77777777" w:rsidR="00393E50" w:rsidRPr="0032182C" w:rsidRDefault="00393E50" w:rsidP="00C41820">
            <w:pPr>
              <w:spacing w:after="0" w:line="240" w:lineRule="auto"/>
              <w:rPr>
                <w:rFonts w:ascii="Verdana" w:hAnsi="Verdana"/>
                <w:bCs/>
                <w:sz w:val="20"/>
              </w:rPr>
            </w:pPr>
          </w:p>
        </w:tc>
        <w:tc>
          <w:tcPr>
            <w:tcW w:w="1696" w:type="dxa"/>
            <w:vAlign w:val="center"/>
          </w:tcPr>
          <w:p w14:paraId="0FE92015" w14:textId="77777777" w:rsidR="00393E50" w:rsidRPr="0032182C" w:rsidRDefault="00393E50" w:rsidP="00C41820">
            <w:pPr>
              <w:spacing w:after="0" w:line="240" w:lineRule="auto"/>
              <w:rPr>
                <w:rFonts w:ascii="Verdana" w:hAnsi="Verdana"/>
                <w:bCs/>
                <w:sz w:val="20"/>
              </w:rPr>
            </w:pPr>
          </w:p>
        </w:tc>
      </w:tr>
      <w:tr w:rsidR="00393E50" w:rsidRPr="0032182C" w14:paraId="1EF2DB40" w14:textId="77777777" w:rsidTr="008B7E95">
        <w:tc>
          <w:tcPr>
            <w:tcW w:w="8080" w:type="dxa"/>
            <w:gridSpan w:val="6"/>
          </w:tcPr>
          <w:p w14:paraId="43F0CB36" w14:textId="387760F3" w:rsidR="00393E50" w:rsidRPr="0032182C" w:rsidRDefault="00393E50" w:rsidP="00C41820">
            <w:pPr>
              <w:spacing w:after="0" w:line="240" w:lineRule="auto"/>
              <w:jc w:val="right"/>
              <w:rPr>
                <w:rFonts w:ascii="Verdana" w:hAnsi="Verdana"/>
                <w:bCs/>
                <w:sz w:val="20"/>
              </w:rPr>
            </w:pPr>
            <w:r>
              <w:rPr>
                <w:rFonts w:ascii="Verdana" w:hAnsi="Verdana"/>
                <w:sz w:val="20"/>
              </w:rPr>
              <w:t>VAT* amount, EUR:</w:t>
            </w:r>
          </w:p>
        </w:tc>
        <w:tc>
          <w:tcPr>
            <w:tcW w:w="1696" w:type="dxa"/>
          </w:tcPr>
          <w:p w14:paraId="07B0A692" w14:textId="77777777" w:rsidR="00393E50" w:rsidRPr="0032182C" w:rsidRDefault="00393E50" w:rsidP="00C41820">
            <w:pPr>
              <w:spacing w:after="0" w:line="240" w:lineRule="auto"/>
              <w:rPr>
                <w:rFonts w:ascii="Verdana" w:hAnsi="Verdana"/>
                <w:bCs/>
                <w:sz w:val="20"/>
              </w:rPr>
            </w:pPr>
          </w:p>
        </w:tc>
      </w:tr>
      <w:tr w:rsidR="00393E50" w:rsidRPr="0032182C" w14:paraId="54C46482" w14:textId="77777777" w:rsidTr="008B7E95">
        <w:tc>
          <w:tcPr>
            <w:tcW w:w="8080" w:type="dxa"/>
            <w:gridSpan w:val="6"/>
          </w:tcPr>
          <w:p w14:paraId="65D1E02B" w14:textId="7ED920FE" w:rsidR="00393E50" w:rsidRPr="0032182C" w:rsidRDefault="00393E50" w:rsidP="00C41820">
            <w:pPr>
              <w:spacing w:after="0" w:line="240" w:lineRule="auto"/>
              <w:jc w:val="right"/>
              <w:rPr>
                <w:rFonts w:ascii="Verdana" w:hAnsi="Verdana"/>
                <w:bCs/>
                <w:sz w:val="20"/>
              </w:rPr>
            </w:pPr>
            <w:r>
              <w:rPr>
                <w:rFonts w:ascii="Verdana" w:hAnsi="Verdana"/>
                <w:sz w:val="20"/>
              </w:rPr>
              <w:t>Total price, EUR, including VAT</w:t>
            </w:r>
          </w:p>
        </w:tc>
        <w:tc>
          <w:tcPr>
            <w:tcW w:w="1696" w:type="dxa"/>
          </w:tcPr>
          <w:p w14:paraId="3F91BB1F" w14:textId="77777777" w:rsidR="00393E50" w:rsidRPr="0032182C" w:rsidRDefault="00393E50" w:rsidP="00C41820">
            <w:pPr>
              <w:spacing w:after="0" w:line="240" w:lineRule="auto"/>
              <w:rPr>
                <w:rFonts w:ascii="Verdana" w:hAnsi="Verdana"/>
                <w:bCs/>
                <w:sz w:val="20"/>
              </w:rPr>
            </w:pPr>
          </w:p>
        </w:tc>
      </w:tr>
    </w:tbl>
    <w:p w14:paraId="095A170E" w14:textId="033E3E0B" w:rsidR="00516710" w:rsidRPr="00361054" w:rsidRDefault="00516710" w:rsidP="00516710">
      <w:pPr>
        <w:spacing w:after="0" w:line="240" w:lineRule="auto"/>
        <w:jc w:val="both"/>
        <w:rPr>
          <w:rFonts w:ascii="Verdana" w:eastAsia="Times New Roman" w:hAnsi="Verdana"/>
          <w:sz w:val="20"/>
        </w:rPr>
      </w:pPr>
      <w:r>
        <w:rPr>
          <w:rFonts w:ascii="Verdana" w:hAnsi="Verdana"/>
          <w:color w:val="000000"/>
          <w:sz w:val="20"/>
        </w:rPr>
        <w:t>When, according to applicable legislation, payment of VAT is not required, the supplier shall indicate the reasons for not paying VAT</w:t>
      </w:r>
      <w:r>
        <w:rPr>
          <w:rFonts w:ascii="Verdana" w:hAnsi="Verdana"/>
          <w:sz w:val="20"/>
        </w:rPr>
        <w:t xml:space="preserve"> ______________.</w:t>
      </w:r>
    </w:p>
    <w:p w14:paraId="6E83366E" w14:textId="77777777" w:rsidR="00393E50" w:rsidRDefault="00393E50" w:rsidP="00D75299">
      <w:pPr>
        <w:spacing w:after="0" w:line="240" w:lineRule="auto"/>
        <w:ind w:right="120"/>
        <w:jc w:val="both"/>
        <w:rPr>
          <w:rFonts w:ascii="Verdana" w:hAnsi="Verdana"/>
          <w:b/>
          <w:sz w:val="20"/>
          <w:lang w:eastAsia="en-US"/>
        </w:rPr>
      </w:pPr>
    </w:p>
    <w:p w14:paraId="6AADA09B" w14:textId="6A9B9A81" w:rsidR="00536FEB" w:rsidRPr="00734574" w:rsidRDefault="004479CD" w:rsidP="00D75299">
      <w:pPr>
        <w:spacing w:after="0" w:line="240" w:lineRule="auto"/>
        <w:ind w:right="120"/>
        <w:jc w:val="both"/>
        <w:rPr>
          <w:rFonts w:ascii="Verdana" w:hAnsi="Verdana"/>
          <w:b/>
          <w:sz w:val="18"/>
          <w:szCs w:val="18"/>
        </w:rPr>
      </w:pPr>
      <w:r>
        <w:rPr>
          <w:rFonts w:ascii="Verdana" w:hAnsi="Verdana"/>
          <w:b/>
          <w:sz w:val="18"/>
        </w:rPr>
        <w:t>By submitting this Tender, we confirm that our prices offered include all costs and taxes, and that we assume the risk for all expenses that, by submitting this Tender and following the requirements laid down in the Procurement Documents, we were required to include in the price offered. We also confirm that our Services offered are fully compliant with the requirements set in the Procurement Documents and that all information presented in our Tender is correct, true and covers everything necessary for the proper execution of the contract. By submitting this Tender, we undertake in respect of the Contracting Authority that the procurement contract will be performed only by persons authorised to engage in the relevant activities (selected when the Supplier’s qualifications are not fully verified at the time of Procurement).</w:t>
      </w:r>
    </w:p>
    <w:p w14:paraId="57EB7BB1" w14:textId="77777777" w:rsidR="00A673FD" w:rsidRPr="0032182C" w:rsidRDefault="00A673FD" w:rsidP="00A673FD">
      <w:pPr>
        <w:spacing w:after="0" w:line="240" w:lineRule="auto"/>
        <w:ind w:right="282" w:firstLine="709"/>
        <w:jc w:val="both"/>
        <w:rPr>
          <w:rFonts w:ascii="Verdana" w:eastAsia="Times New Roman" w:hAnsi="Verdana"/>
          <w:sz w:val="20"/>
        </w:rPr>
      </w:pPr>
      <w:proofErr w:type="spellStart"/>
      <w:r>
        <w:rPr>
          <w:rFonts w:ascii="Verdana" w:hAnsi="Verdana"/>
          <w:sz w:val="20"/>
        </w:rPr>
        <w:t>Subsuppliers</w:t>
      </w:r>
      <w:proofErr w:type="spellEnd"/>
      <w:r>
        <w:rPr>
          <w:rFonts w:ascii="Verdana" w:hAnsi="Verdana"/>
          <w:sz w:val="20"/>
        </w:rPr>
        <w:t xml:space="preserve"> to be engaged by the Supplier: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2835"/>
        <w:gridCol w:w="2977"/>
      </w:tblGrid>
      <w:tr w:rsidR="000835B0" w:rsidRPr="0032182C" w14:paraId="6E885E94" w14:textId="1DFA100D" w:rsidTr="00C437A1">
        <w:tc>
          <w:tcPr>
            <w:tcW w:w="851" w:type="dxa"/>
            <w:tcBorders>
              <w:top w:val="single" w:sz="4" w:space="0" w:color="auto"/>
              <w:left w:val="single" w:sz="4" w:space="0" w:color="auto"/>
              <w:bottom w:val="single" w:sz="4" w:space="0" w:color="auto"/>
              <w:right w:val="single" w:sz="4" w:space="0" w:color="auto"/>
            </w:tcBorders>
            <w:vAlign w:val="center"/>
          </w:tcPr>
          <w:p w14:paraId="43B0D4C1" w14:textId="77777777" w:rsidR="000835B0" w:rsidRPr="0032182C" w:rsidRDefault="000835B0" w:rsidP="006C348A">
            <w:pPr>
              <w:spacing w:after="0" w:line="240" w:lineRule="auto"/>
              <w:ind w:right="-108"/>
              <w:jc w:val="center"/>
              <w:rPr>
                <w:rFonts w:ascii="Verdana" w:hAnsi="Verdana"/>
                <w:b/>
                <w:sz w:val="20"/>
              </w:rPr>
            </w:pPr>
            <w:r>
              <w:rPr>
                <w:rFonts w:ascii="Verdana" w:hAnsi="Verdana"/>
                <w:b/>
                <w:sz w:val="20"/>
              </w:rPr>
              <w:t>Item No</w:t>
            </w:r>
          </w:p>
        </w:tc>
        <w:tc>
          <w:tcPr>
            <w:tcW w:w="3118" w:type="dxa"/>
            <w:tcBorders>
              <w:top w:val="single" w:sz="4" w:space="0" w:color="auto"/>
              <w:left w:val="single" w:sz="4" w:space="0" w:color="auto"/>
              <w:bottom w:val="single" w:sz="4" w:space="0" w:color="auto"/>
              <w:right w:val="single" w:sz="4" w:space="0" w:color="auto"/>
            </w:tcBorders>
            <w:vAlign w:val="center"/>
          </w:tcPr>
          <w:p w14:paraId="71DED590" w14:textId="501A5CED" w:rsidR="000835B0" w:rsidRPr="0032182C" w:rsidRDefault="000835B0" w:rsidP="006C348A">
            <w:pPr>
              <w:spacing w:after="0" w:line="240" w:lineRule="auto"/>
              <w:ind w:right="120"/>
              <w:jc w:val="center"/>
              <w:rPr>
                <w:rFonts w:ascii="Verdana" w:hAnsi="Verdana"/>
                <w:b/>
                <w:sz w:val="20"/>
              </w:rPr>
            </w:pPr>
            <w:r>
              <w:rPr>
                <w:rFonts w:ascii="Verdana" w:hAnsi="Verdana"/>
                <w:b/>
                <w:sz w:val="20"/>
              </w:rPr>
              <w:t xml:space="preserve">Name of the </w:t>
            </w:r>
            <w:proofErr w:type="spellStart"/>
            <w:r>
              <w:rPr>
                <w:rFonts w:ascii="Verdana" w:hAnsi="Verdana"/>
                <w:b/>
                <w:sz w:val="20"/>
              </w:rPr>
              <w:t>Subsupplier</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CB3F345" w14:textId="44D31B85" w:rsidR="000835B0" w:rsidRPr="0032182C" w:rsidRDefault="000835B0" w:rsidP="006C348A">
            <w:pPr>
              <w:spacing w:after="0" w:line="240" w:lineRule="auto"/>
              <w:ind w:right="120"/>
              <w:jc w:val="center"/>
              <w:rPr>
                <w:rFonts w:ascii="Verdana" w:hAnsi="Verdana"/>
                <w:b/>
                <w:bCs/>
                <w:sz w:val="20"/>
              </w:rPr>
            </w:pPr>
            <w:r>
              <w:rPr>
                <w:rFonts w:ascii="Verdana" w:hAnsi="Verdana"/>
                <w:b/>
                <w:sz w:val="20"/>
              </w:rPr>
              <w:t xml:space="preserve">Company number and address of the </w:t>
            </w:r>
            <w:proofErr w:type="spellStart"/>
            <w:r>
              <w:rPr>
                <w:rFonts w:ascii="Verdana" w:hAnsi="Verdana"/>
                <w:b/>
                <w:sz w:val="20"/>
              </w:rPr>
              <w:t>Subsupplier</w:t>
            </w:r>
            <w:proofErr w:type="spellEnd"/>
          </w:p>
        </w:tc>
        <w:tc>
          <w:tcPr>
            <w:tcW w:w="2977" w:type="dxa"/>
            <w:tcBorders>
              <w:top w:val="single" w:sz="4" w:space="0" w:color="auto"/>
              <w:left w:val="single" w:sz="4" w:space="0" w:color="auto"/>
              <w:bottom w:val="single" w:sz="4" w:space="0" w:color="auto"/>
              <w:right w:val="single" w:sz="4" w:space="0" w:color="auto"/>
            </w:tcBorders>
          </w:tcPr>
          <w:p w14:paraId="1D468509" w14:textId="7EFD8325" w:rsidR="000835B0" w:rsidRPr="0032182C" w:rsidRDefault="000835B0" w:rsidP="006C348A">
            <w:pPr>
              <w:spacing w:after="0" w:line="240" w:lineRule="auto"/>
              <w:ind w:right="120"/>
              <w:jc w:val="center"/>
              <w:rPr>
                <w:rFonts w:ascii="Verdana" w:eastAsia="Times New Roman" w:hAnsi="Verdana"/>
                <w:b/>
                <w:bCs/>
                <w:sz w:val="20"/>
              </w:rPr>
            </w:pPr>
            <w:r>
              <w:rPr>
                <w:rFonts w:ascii="Verdana" w:hAnsi="Verdana"/>
                <w:b/>
                <w:sz w:val="20"/>
              </w:rPr>
              <w:t xml:space="preserve">Share of obligations assumed by the </w:t>
            </w:r>
            <w:proofErr w:type="spellStart"/>
            <w:r>
              <w:rPr>
                <w:rFonts w:ascii="Verdana" w:hAnsi="Verdana"/>
                <w:b/>
                <w:sz w:val="20"/>
              </w:rPr>
              <w:t>Subsupplier</w:t>
            </w:r>
            <w:proofErr w:type="spellEnd"/>
            <w:r>
              <w:rPr>
                <w:rFonts w:ascii="Verdana" w:hAnsi="Verdana"/>
                <w:b/>
                <w:sz w:val="20"/>
              </w:rPr>
              <w:t xml:space="preserve"> in relation to the contract value (%)</w:t>
            </w:r>
          </w:p>
        </w:tc>
      </w:tr>
      <w:tr w:rsidR="000835B0" w:rsidRPr="0032182C" w14:paraId="36A03BD9" w14:textId="51F46ABE" w:rsidTr="00C437A1">
        <w:tc>
          <w:tcPr>
            <w:tcW w:w="851" w:type="dxa"/>
            <w:tcBorders>
              <w:top w:val="single" w:sz="4" w:space="0" w:color="auto"/>
              <w:left w:val="single" w:sz="4" w:space="0" w:color="auto"/>
              <w:bottom w:val="single" w:sz="4" w:space="0" w:color="auto"/>
              <w:right w:val="single" w:sz="4" w:space="0" w:color="auto"/>
            </w:tcBorders>
          </w:tcPr>
          <w:p w14:paraId="00A13CAB" w14:textId="77777777" w:rsidR="000835B0" w:rsidRPr="0032182C" w:rsidRDefault="000835B0" w:rsidP="006C348A">
            <w:pPr>
              <w:spacing w:after="0" w:line="240" w:lineRule="auto"/>
              <w:ind w:right="120"/>
              <w:jc w:val="both"/>
              <w:rPr>
                <w:rFonts w:ascii="Verdana" w:hAnsi="Verdana"/>
                <w:sz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4A12AFC" w14:textId="77777777" w:rsidR="000835B0" w:rsidRPr="0032182C" w:rsidRDefault="000835B0" w:rsidP="006C348A">
            <w:pPr>
              <w:spacing w:after="0" w:line="240" w:lineRule="auto"/>
              <w:ind w:right="120"/>
              <w:jc w:val="both"/>
              <w:rPr>
                <w:rFonts w:ascii="Verdana" w:hAnsi="Verdana"/>
                <w:sz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5FAEE98" w14:textId="77777777" w:rsidR="000835B0" w:rsidRPr="0032182C" w:rsidRDefault="000835B0" w:rsidP="006C348A">
            <w:pPr>
              <w:spacing w:after="0" w:line="240" w:lineRule="auto"/>
              <w:ind w:right="120"/>
              <w:jc w:val="both"/>
              <w:rPr>
                <w:rFonts w:ascii="Verdana" w:hAnsi="Verdana"/>
                <w:sz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28AFE666" w14:textId="77777777" w:rsidR="000835B0" w:rsidRPr="0032182C" w:rsidRDefault="000835B0" w:rsidP="006C348A">
            <w:pPr>
              <w:spacing w:after="0" w:line="240" w:lineRule="auto"/>
              <w:ind w:right="120"/>
              <w:jc w:val="both"/>
              <w:rPr>
                <w:rFonts w:ascii="Verdana" w:hAnsi="Verdana"/>
                <w:sz w:val="20"/>
                <w:lang w:eastAsia="en-US"/>
              </w:rPr>
            </w:pPr>
          </w:p>
        </w:tc>
      </w:tr>
    </w:tbl>
    <w:p w14:paraId="308535EC" w14:textId="2E136F15" w:rsidR="00536FEB" w:rsidRPr="0032182C" w:rsidRDefault="00536FEB" w:rsidP="00D75299">
      <w:pPr>
        <w:spacing w:after="0" w:line="240" w:lineRule="auto"/>
        <w:ind w:right="282" w:firstLine="709"/>
        <w:jc w:val="both"/>
        <w:rPr>
          <w:rFonts w:ascii="Verdana" w:eastAsia="Times New Roman" w:hAnsi="Verdana"/>
          <w:sz w:val="20"/>
        </w:rPr>
      </w:pPr>
      <w:r>
        <w:rPr>
          <w:rFonts w:ascii="Verdana" w:hAnsi="Verdana"/>
          <w:sz w:val="20"/>
        </w:rPr>
        <w:t>Documents accompanying the Tender: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47"/>
        <w:gridCol w:w="2583"/>
      </w:tblGrid>
      <w:tr w:rsidR="00536FEB" w:rsidRPr="0032182C" w14:paraId="4758D73B" w14:textId="77777777" w:rsidTr="00C621F3">
        <w:tc>
          <w:tcPr>
            <w:tcW w:w="851" w:type="dxa"/>
            <w:tcBorders>
              <w:top w:val="single" w:sz="4" w:space="0" w:color="auto"/>
              <w:left w:val="single" w:sz="4" w:space="0" w:color="auto"/>
              <w:bottom w:val="single" w:sz="4" w:space="0" w:color="auto"/>
              <w:right w:val="single" w:sz="4" w:space="0" w:color="auto"/>
            </w:tcBorders>
            <w:vAlign w:val="center"/>
          </w:tcPr>
          <w:p w14:paraId="19CEDFD9" w14:textId="4B299F33" w:rsidR="00536FEB" w:rsidRPr="0032182C" w:rsidRDefault="00536FEB" w:rsidP="001968B9">
            <w:pPr>
              <w:spacing w:after="0" w:line="240" w:lineRule="auto"/>
              <w:ind w:right="-108"/>
              <w:jc w:val="center"/>
              <w:rPr>
                <w:rFonts w:ascii="Verdana" w:hAnsi="Verdana"/>
                <w:b/>
                <w:sz w:val="20"/>
              </w:rPr>
            </w:pPr>
            <w:r>
              <w:rPr>
                <w:rFonts w:ascii="Verdana" w:hAnsi="Verdana"/>
                <w:b/>
                <w:sz w:val="20"/>
              </w:rPr>
              <w:t>Item No</w:t>
            </w:r>
          </w:p>
        </w:tc>
        <w:tc>
          <w:tcPr>
            <w:tcW w:w="6347" w:type="dxa"/>
            <w:tcBorders>
              <w:top w:val="single" w:sz="4" w:space="0" w:color="auto"/>
              <w:left w:val="single" w:sz="4" w:space="0" w:color="auto"/>
              <w:bottom w:val="single" w:sz="4" w:space="0" w:color="auto"/>
              <w:right w:val="single" w:sz="4" w:space="0" w:color="auto"/>
            </w:tcBorders>
            <w:vAlign w:val="center"/>
          </w:tcPr>
          <w:p w14:paraId="28B59907" w14:textId="77777777" w:rsidR="00536FEB" w:rsidRPr="0032182C" w:rsidRDefault="00536FEB" w:rsidP="00D75299">
            <w:pPr>
              <w:spacing w:after="0" w:line="240" w:lineRule="auto"/>
              <w:ind w:right="120"/>
              <w:jc w:val="center"/>
              <w:rPr>
                <w:rFonts w:ascii="Verdana" w:hAnsi="Verdana"/>
                <w:b/>
                <w:sz w:val="20"/>
              </w:rPr>
            </w:pPr>
            <w:r>
              <w:rPr>
                <w:rFonts w:ascii="Verdana" w:hAnsi="Verdana"/>
                <w:b/>
                <w:sz w:val="20"/>
              </w:rPr>
              <w:t>Title of the document submitted</w:t>
            </w:r>
          </w:p>
        </w:tc>
        <w:tc>
          <w:tcPr>
            <w:tcW w:w="2583" w:type="dxa"/>
            <w:tcBorders>
              <w:top w:val="single" w:sz="4" w:space="0" w:color="auto"/>
              <w:left w:val="single" w:sz="4" w:space="0" w:color="auto"/>
              <w:bottom w:val="single" w:sz="4" w:space="0" w:color="auto"/>
              <w:right w:val="single" w:sz="4" w:space="0" w:color="auto"/>
            </w:tcBorders>
            <w:vAlign w:val="center"/>
          </w:tcPr>
          <w:p w14:paraId="771D6435" w14:textId="77777777" w:rsidR="00536FEB" w:rsidRPr="0032182C" w:rsidRDefault="00536FEB" w:rsidP="00D75299">
            <w:pPr>
              <w:spacing w:after="0" w:line="240" w:lineRule="auto"/>
              <w:ind w:right="120"/>
              <w:jc w:val="center"/>
              <w:rPr>
                <w:rFonts w:ascii="Verdana" w:hAnsi="Verdana"/>
                <w:b/>
                <w:sz w:val="20"/>
              </w:rPr>
            </w:pPr>
            <w:r>
              <w:rPr>
                <w:rFonts w:ascii="Verdana" w:hAnsi="Verdana"/>
                <w:b/>
                <w:sz w:val="20"/>
              </w:rPr>
              <w:t>Number of pages of the document</w:t>
            </w:r>
          </w:p>
        </w:tc>
      </w:tr>
      <w:tr w:rsidR="00536FEB" w:rsidRPr="0032182C" w14:paraId="46FE759F" w14:textId="77777777" w:rsidTr="00C621F3">
        <w:tc>
          <w:tcPr>
            <w:tcW w:w="851" w:type="dxa"/>
            <w:tcBorders>
              <w:top w:val="single" w:sz="4" w:space="0" w:color="auto"/>
              <w:left w:val="single" w:sz="4" w:space="0" w:color="auto"/>
              <w:bottom w:val="single" w:sz="4" w:space="0" w:color="auto"/>
              <w:right w:val="single" w:sz="4" w:space="0" w:color="auto"/>
            </w:tcBorders>
          </w:tcPr>
          <w:p w14:paraId="2B678EC5" w14:textId="77777777" w:rsidR="00536FEB" w:rsidRPr="0032182C" w:rsidRDefault="00536FEB" w:rsidP="00D75299">
            <w:pPr>
              <w:spacing w:after="0" w:line="240" w:lineRule="auto"/>
              <w:ind w:right="120"/>
              <w:jc w:val="both"/>
              <w:rPr>
                <w:rFonts w:ascii="Verdana" w:hAnsi="Verdana"/>
                <w:sz w:val="20"/>
                <w:lang w:eastAsia="en-US"/>
              </w:rPr>
            </w:pPr>
          </w:p>
        </w:tc>
        <w:tc>
          <w:tcPr>
            <w:tcW w:w="6347" w:type="dxa"/>
            <w:tcBorders>
              <w:top w:val="single" w:sz="4" w:space="0" w:color="auto"/>
              <w:left w:val="single" w:sz="4" w:space="0" w:color="auto"/>
              <w:bottom w:val="single" w:sz="4" w:space="0" w:color="auto"/>
              <w:right w:val="single" w:sz="4" w:space="0" w:color="auto"/>
            </w:tcBorders>
          </w:tcPr>
          <w:p w14:paraId="5D799F72" w14:textId="77777777" w:rsidR="00536FEB" w:rsidRPr="0032182C" w:rsidRDefault="00536FEB" w:rsidP="00D75299">
            <w:pPr>
              <w:spacing w:after="0" w:line="240" w:lineRule="auto"/>
              <w:ind w:right="120"/>
              <w:jc w:val="both"/>
              <w:rPr>
                <w:rFonts w:ascii="Verdana" w:hAnsi="Verdana"/>
                <w:sz w:val="20"/>
                <w:lang w:eastAsia="en-US"/>
              </w:rPr>
            </w:pPr>
          </w:p>
        </w:tc>
        <w:tc>
          <w:tcPr>
            <w:tcW w:w="2583" w:type="dxa"/>
            <w:tcBorders>
              <w:top w:val="single" w:sz="4" w:space="0" w:color="auto"/>
              <w:left w:val="single" w:sz="4" w:space="0" w:color="auto"/>
              <w:bottom w:val="single" w:sz="4" w:space="0" w:color="auto"/>
              <w:right w:val="single" w:sz="4" w:space="0" w:color="auto"/>
            </w:tcBorders>
          </w:tcPr>
          <w:p w14:paraId="2CC48700" w14:textId="77777777" w:rsidR="00536FEB" w:rsidRPr="0032182C" w:rsidRDefault="00536FEB" w:rsidP="00D75299">
            <w:pPr>
              <w:spacing w:after="0" w:line="240" w:lineRule="auto"/>
              <w:ind w:right="120"/>
              <w:jc w:val="both"/>
              <w:rPr>
                <w:rFonts w:ascii="Verdana" w:hAnsi="Verdana"/>
                <w:sz w:val="20"/>
                <w:lang w:eastAsia="en-US"/>
              </w:rPr>
            </w:pPr>
          </w:p>
        </w:tc>
      </w:tr>
    </w:tbl>
    <w:p w14:paraId="79C9475B" w14:textId="3385F2B4" w:rsidR="00536FEB" w:rsidRPr="0032182C" w:rsidRDefault="00536FEB" w:rsidP="00D75299">
      <w:pPr>
        <w:spacing w:after="0" w:line="240" w:lineRule="auto"/>
        <w:ind w:right="282" w:firstLine="709"/>
        <w:jc w:val="both"/>
        <w:rPr>
          <w:rFonts w:ascii="Verdana" w:eastAsia="Times New Roman" w:hAnsi="Verdana"/>
          <w:sz w:val="20"/>
        </w:rPr>
      </w:pPr>
      <w:r>
        <w:rPr>
          <w:rFonts w:ascii="Verdana" w:hAnsi="Verdana"/>
          <w:sz w:val="20"/>
        </w:rPr>
        <w:t xml:space="preserve">Information provided in the Tender is confidential (the CA cannot disclose this information to third </w:t>
      </w:r>
      <w:proofErr w:type="gramStart"/>
      <w:r>
        <w:rPr>
          <w:rFonts w:ascii="Verdana" w:hAnsi="Verdana"/>
          <w:sz w:val="20"/>
        </w:rPr>
        <w:t>parties)</w:t>
      </w:r>
      <w:r>
        <w:rPr>
          <w:rFonts w:ascii="Verdana" w:hAnsi="Verdana"/>
          <w:b/>
          <w:sz w:val="20"/>
        </w:rPr>
        <w:t>*</w:t>
      </w:r>
      <w:proofErr w:type="gramEnd"/>
      <w:r>
        <w:rPr>
          <w:rFonts w:ascii="Verdana" w:hAnsi="Verdana"/>
          <w:b/>
          <w:sz w:val="20"/>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536"/>
        <w:gridCol w:w="4394"/>
      </w:tblGrid>
      <w:tr w:rsidR="00C437A1" w:rsidRPr="0032182C" w14:paraId="380A3427" w14:textId="7D5D2C31" w:rsidTr="00C437A1">
        <w:tc>
          <w:tcPr>
            <w:tcW w:w="851" w:type="dxa"/>
            <w:tcBorders>
              <w:top w:val="single" w:sz="4" w:space="0" w:color="auto"/>
              <w:left w:val="single" w:sz="4" w:space="0" w:color="auto"/>
              <w:bottom w:val="single" w:sz="4" w:space="0" w:color="auto"/>
              <w:right w:val="single" w:sz="4" w:space="0" w:color="auto"/>
            </w:tcBorders>
          </w:tcPr>
          <w:p w14:paraId="4D587746" w14:textId="77777777" w:rsidR="00C437A1" w:rsidRPr="0032182C" w:rsidRDefault="00C437A1" w:rsidP="00C621F3">
            <w:pPr>
              <w:spacing w:after="0" w:line="240" w:lineRule="auto"/>
              <w:ind w:right="-108"/>
              <w:jc w:val="center"/>
              <w:rPr>
                <w:rFonts w:ascii="Verdana" w:eastAsia="Times New Roman" w:hAnsi="Verdana"/>
                <w:b/>
                <w:sz w:val="20"/>
              </w:rPr>
            </w:pPr>
            <w:r>
              <w:rPr>
                <w:rFonts w:ascii="Verdana" w:hAnsi="Verdana"/>
                <w:b/>
                <w:sz w:val="20"/>
              </w:rPr>
              <w:t>Item No</w:t>
            </w:r>
          </w:p>
        </w:tc>
        <w:tc>
          <w:tcPr>
            <w:tcW w:w="4536" w:type="dxa"/>
            <w:tcBorders>
              <w:top w:val="single" w:sz="4" w:space="0" w:color="auto"/>
              <w:left w:val="single" w:sz="4" w:space="0" w:color="auto"/>
              <w:bottom w:val="single" w:sz="4" w:space="0" w:color="auto"/>
              <w:right w:val="single" w:sz="4" w:space="0" w:color="auto"/>
            </w:tcBorders>
          </w:tcPr>
          <w:p w14:paraId="1F6812F9" w14:textId="77777777" w:rsidR="00C437A1" w:rsidRPr="0032182C" w:rsidRDefault="00C437A1" w:rsidP="00D75299">
            <w:pPr>
              <w:spacing w:after="0" w:line="240" w:lineRule="auto"/>
              <w:jc w:val="center"/>
              <w:rPr>
                <w:rFonts w:ascii="Verdana" w:eastAsia="Times New Roman" w:hAnsi="Verdana"/>
                <w:b/>
                <w:sz w:val="20"/>
              </w:rPr>
            </w:pPr>
            <w:r>
              <w:rPr>
                <w:rFonts w:ascii="Verdana" w:hAnsi="Verdana"/>
                <w:b/>
                <w:sz w:val="20"/>
              </w:rPr>
              <w:t>Title of the document submitted</w:t>
            </w:r>
          </w:p>
        </w:tc>
        <w:tc>
          <w:tcPr>
            <w:tcW w:w="4394" w:type="dxa"/>
            <w:tcBorders>
              <w:top w:val="single" w:sz="4" w:space="0" w:color="auto"/>
              <w:left w:val="single" w:sz="4" w:space="0" w:color="auto"/>
              <w:bottom w:val="single" w:sz="4" w:space="0" w:color="auto"/>
              <w:right w:val="single" w:sz="4" w:space="0" w:color="auto"/>
            </w:tcBorders>
          </w:tcPr>
          <w:p w14:paraId="7A754C82" w14:textId="4C173DF6" w:rsidR="00C437A1" w:rsidRPr="0032182C" w:rsidRDefault="003F35E5" w:rsidP="00D75299">
            <w:pPr>
              <w:spacing w:after="0" w:line="240" w:lineRule="auto"/>
              <w:jc w:val="center"/>
              <w:rPr>
                <w:rFonts w:ascii="Verdana" w:eastAsia="Times New Roman" w:hAnsi="Verdana"/>
                <w:b/>
                <w:sz w:val="20"/>
              </w:rPr>
            </w:pPr>
            <w:r>
              <w:rPr>
                <w:rFonts w:ascii="Verdana" w:hAnsi="Verdana"/>
                <w:b/>
                <w:sz w:val="20"/>
              </w:rPr>
              <w:t>Location of confidential information in the document (page)</w:t>
            </w:r>
          </w:p>
        </w:tc>
      </w:tr>
      <w:tr w:rsidR="00C437A1" w:rsidRPr="0032182C" w14:paraId="17D3D9D3" w14:textId="51659D1B" w:rsidTr="00C437A1">
        <w:tc>
          <w:tcPr>
            <w:tcW w:w="851" w:type="dxa"/>
            <w:tcBorders>
              <w:top w:val="single" w:sz="4" w:space="0" w:color="auto"/>
              <w:left w:val="single" w:sz="4" w:space="0" w:color="auto"/>
              <w:bottom w:val="single" w:sz="4" w:space="0" w:color="auto"/>
              <w:right w:val="single" w:sz="4" w:space="0" w:color="auto"/>
            </w:tcBorders>
          </w:tcPr>
          <w:p w14:paraId="4AA076D1" w14:textId="77777777" w:rsidR="00C437A1" w:rsidRPr="0032182C" w:rsidRDefault="00C437A1" w:rsidP="00D75299">
            <w:pPr>
              <w:spacing w:after="0" w:line="240" w:lineRule="auto"/>
              <w:jc w:val="both"/>
              <w:rPr>
                <w:rFonts w:ascii="Verdana" w:eastAsia="Times New Roman" w:hAnsi="Verdana"/>
                <w:sz w:val="20"/>
                <w:lang w:eastAsia="en-US"/>
              </w:rPr>
            </w:pPr>
          </w:p>
        </w:tc>
        <w:tc>
          <w:tcPr>
            <w:tcW w:w="4536" w:type="dxa"/>
            <w:tcBorders>
              <w:top w:val="single" w:sz="4" w:space="0" w:color="auto"/>
              <w:left w:val="single" w:sz="4" w:space="0" w:color="auto"/>
              <w:bottom w:val="single" w:sz="4" w:space="0" w:color="auto"/>
              <w:right w:val="single" w:sz="4" w:space="0" w:color="auto"/>
            </w:tcBorders>
          </w:tcPr>
          <w:p w14:paraId="09E7D337" w14:textId="77777777" w:rsidR="00C437A1" w:rsidRPr="0032182C" w:rsidRDefault="00C437A1" w:rsidP="00D75299">
            <w:pPr>
              <w:spacing w:after="0" w:line="240" w:lineRule="auto"/>
              <w:jc w:val="both"/>
              <w:rPr>
                <w:rFonts w:ascii="Verdana" w:eastAsia="Times New Roman" w:hAnsi="Verdana"/>
                <w:sz w:val="20"/>
                <w:lang w:eastAsia="en-US"/>
              </w:rPr>
            </w:pPr>
          </w:p>
        </w:tc>
        <w:tc>
          <w:tcPr>
            <w:tcW w:w="4394" w:type="dxa"/>
            <w:tcBorders>
              <w:top w:val="single" w:sz="4" w:space="0" w:color="auto"/>
              <w:left w:val="single" w:sz="4" w:space="0" w:color="auto"/>
              <w:bottom w:val="single" w:sz="4" w:space="0" w:color="auto"/>
              <w:right w:val="single" w:sz="4" w:space="0" w:color="auto"/>
            </w:tcBorders>
          </w:tcPr>
          <w:p w14:paraId="4248EF2C" w14:textId="77777777" w:rsidR="00C437A1" w:rsidRPr="0032182C" w:rsidRDefault="00C437A1" w:rsidP="00D75299">
            <w:pPr>
              <w:spacing w:after="0" w:line="240" w:lineRule="auto"/>
              <w:jc w:val="both"/>
              <w:rPr>
                <w:rFonts w:ascii="Verdana" w:eastAsia="Times New Roman" w:hAnsi="Verdana"/>
                <w:sz w:val="20"/>
                <w:lang w:eastAsia="en-US"/>
              </w:rPr>
            </w:pPr>
          </w:p>
        </w:tc>
      </w:tr>
    </w:tbl>
    <w:p w14:paraId="79399104" w14:textId="1D61299B" w:rsidR="00536FEB" w:rsidRPr="0032182C" w:rsidRDefault="00536FEB" w:rsidP="00C621F3">
      <w:pPr>
        <w:tabs>
          <w:tab w:val="left" w:pos="9781"/>
        </w:tabs>
        <w:spacing w:after="0" w:line="240" w:lineRule="auto"/>
        <w:jc w:val="both"/>
        <w:rPr>
          <w:rFonts w:ascii="Verdana" w:eastAsia="Times New Roman" w:hAnsi="Verdana"/>
          <w:i/>
          <w:sz w:val="20"/>
        </w:rPr>
      </w:pPr>
      <w:r>
        <w:rPr>
          <w:rFonts w:ascii="Verdana" w:hAnsi="Verdana"/>
          <w:sz w:val="20"/>
        </w:rPr>
        <w:t xml:space="preserve">*Where the Supplier has not indicated which information is confidential, it is deemed that the Tender does not contain confidential information. </w:t>
      </w:r>
      <w:r>
        <w:rPr>
          <w:rFonts w:ascii="Verdana" w:hAnsi="Verdana"/>
          <w:b/>
          <w:sz w:val="20"/>
        </w:rPr>
        <w:t xml:space="preserve">In accordance with the LPP, the CA is obligated to publish the successful tender and the contract awarded. </w:t>
      </w:r>
      <w:r>
        <w:rPr>
          <w:rFonts w:ascii="Verdana" w:hAnsi="Verdana"/>
          <w:b/>
          <w:bCs/>
          <w:sz w:val="20"/>
        </w:rPr>
        <w:t>The CA will not be responsible for making publicly available the information that was not indicated by the Supplier as confidential.</w:t>
      </w:r>
    </w:p>
    <w:p w14:paraId="6422A1A5" w14:textId="77777777" w:rsidR="00536FEB" w:rsidRPr="0032182C" w:rsidRDefault="00536FEB" w:rsidP="00D75299">
      <w:pPr>
        <w:spacing w:after="0" w:line="240" w:lineRule="auto"/>
        <w:ind w:right="282"/>
        <w:jc w:val="both"/>
        <w:rPr>
          <w:rFonts w:ascii="Verdana" w:eastAsia="Times New Roman" w:hAnsi="Verdana"/>
          <w:sz w:val="20"/>
          <w:lang w:eastAsia="en-US"/>
        </w:rPr>
      </w:pPr>
    </w:p>
    <w:p w14:paraId="1615A603" w14:textId="77777777" w:rsidR="00536FEB" w:rsidRPr="0032182C" w:rsidRDefault="00536FEB" w:rsidP="00C621F3">
      <w:pPr>
        <w:shd w:val="clear" w:color="auto" w:fill="FFFFFF"/>
        <w:spacing w:after="0" w:line="240" w:lineRule="auto"/>
        <w:jc w:val="both"/>
        <w:rPr>
          <w:rFonts w:ascii="Verdana" w:hAnsi="Verdana"/>
          <w:sz w:val="20"/>
        </w:rPr>
      </w:pPr>
      <w:r>
        <w:rPr>
          <w:rFonts w:ascii="Verdana" w:hAnsi="Verdana"/>
          <w:b/>
          <w:bCs/>
          <w:sz w:val="20"/>
        </w:rPr>
        <w:t xml:space="preserve">The Tender is valid until </w:t>
      </w:r>
      <w:r>
        <w:rPr>
          <w:rFonts w:ascii="Verdana" w:hAnsi="Verdana"/>
          <w:i/>
          <w:iCs/>
          <w:sz w:val="20"/>
        </w:rPr>
        <w:t>(indicate a time limit for the validity of the Tender that is no shorter than required according to the Procurement Conditions)</w:t>
      </w:r>
      <w:r>
        <w:rPr>
          <w:rFonts w:ascii="Verdana" w:hAnsi="Verdana"/>
          <w:sz w:val="20"/>
        </w:rPr>
        <w:t>.</w:t>
      </w:r>
    </w:p>
    <w:p w14:paraId="5133E1BB" w14:textId="77777777" w:rsidR="00C75622" w:rsidRPr="0032182C" w:rsidRDefault="00C75622" w:rsidP="00C75622">
      <w:pPr>
        <w:autoSpaceDN w:val="0"/>
        <w:spacing w:after="0" w:line="240" w:lineRule="auto"/>
        <w:ind w:right="282"/>
        <w:jc w:val="both"/>
        <w:rPr>
          <w:rFonts w:ascii="Verdana" w:hAnsi="Verdana"/>
          <w:sz w:val="20"/>
        </w:rPr>
      </w:pPr>
      <w:r>
        <w:rPr>
          <w:rFonts w:ascii="Verdana" w:hAnsi="Verdana"/>
          <w:sz w:val="20"/>
        </w:rPr>
        <w:t>If the Supplier fails to indicate the time limit for the validity of the Tender, the Tender is valid as indicated in the Procurement Documents.</w:t>
      </w:r>
    </w:p>
    <w:p w14:paraId="07A958C4" w14:textId="77777777" w:rsidR="004A79FB" w:rsidRPr="0032182C" w:rsidRDefault="004A79FB" w:rsidP="00187450">
      <w:pPr>
        <w:autoSpaceDN w:val="0"/>
        <w:spacing w:after="120" w:line="240" w:lineRule="auto"/>
        <w:ind w:right="282"/>
        <w:jc w:val="both"/>
        <w:rPr>
          <w:rFonts w:ascii="Verdana" w:hAnsi="Verdana"/>
          <w:sz w:val="20"/>
        </w:rPr>
      </w:pPr>
      <w:r>
        <w:rPr>
          <w:rFonts w:ascii="Verdana" w:hAnsi="Verdana"/>
          <w:sz w:val="20"/>
        </w:rPr>
        <w:t xml:space="preserve">By signing this Tender, I certify the validity of all documents submitted together with the Tender. </w:t>
      </w:r>
    </w:p>
    <w:tbl>
      <w:tblPr>
        <w:tblW w:w="0" w:type="auto"/>
        <w:tblLayout w:type="fixed"/>
        <w:tblLook w:val="04A0" w:firstRow="1" w:lastRow="0" w:firstColumn="1" w:lastColumn="0" w:noHBand="0" w:noVBand="1"/>
      </w:tblPr>
      <w:tblGrid>
        <w:gridCol w:w="3544"/>
        <w:gridCol w:w="344"/>
        <w:gridCol w:w="1980"/>
        <w:gridCol w:w="701"/>
        <w:gridCol w:w="2645"/>
        <w:gridCol w:w="250"/>
      </w:tblGrid>
      <w:tr w:rsidR="007939C3" w:rsidRPr="0032182C" w14:paraId="0D1A7E0B" w14:textId="77777777" w:rsidTr="00800F0A">
        <w:trPr>
          <w:trHeight w:val="186"/>
        </w:trPr>
        <w:tc>
          <w:tcPr>
            <w:tcW w:w="3544" w:type="dxa"/>
            <w:tcBorders>
              <w:top w:val="single" w:sz="4" w:space="0" w:color="auto"/>
              <w:left w:val="nil"/>
              <w:bottom w:val="nil"/>
              <w:right w:val="nil"/>
            </w:tcBorders>
          </w:tcPr>
          <w:p w14:paraId="2D3E62F1" w14:textId="1162E7BB" w:rsidR="007939C3" w:rsidRPr="0032182C" w:rsidRDefault="007939C3" w:rsidP="00D75299">
            <w:pPr>
              <w:tabs>
                <w:tab w:val="left" w:pos="1560"/>
              </w:tabs>
              <w:snapToGrid w:val="0"/>
              <w:spacing w:after="0" w:line="240" w:lineRule="auto"/>
              <w:jc w:val="both"/>
              <w:rPr>
                <w:rFonts w:ascii="Verdana" w:eastAsia="Times New Roman" w:hAnsi="Verdana"/>
                <w:position w:val="6"/>
                <w:sz w:val="20"/>
              </w:rPr>
            </w:pPr>
            <w:r>
              <w:rPr>
                <w:rFonts w:ascii="Verdana" w:hAnsi="Verdana"/>
                <w:sz w:val="20"/>
              </w:rPr>
              <w:t>(Title of the manager of the Supplier or the authorised person)</w:t>
            </w:r>
            <w:r w:rsidR="00E222C9">
              <w:rPr>
                <w:rStyle w:val="FootnoteReference"/>
                <w:rFonts w:ascii="Verdana" w:hAnsi="Verdana"/>
                <w:sz w:val="20"/>
              </w:rPr>
              <w:footnoteReference w:id="6"/>
            </w:r>
          </w:p>
        </w:tc>
        <w:tc>
          <w:tcPr>
            <w:tcW w:w="344" w:type="dxa"/>
          </w:tcPr>
          <w:p w14:paraId="72C389D6" w14:textId="77777777" w:rsidR="007939C3" w:rsidRPr="0032182C" w:rsidRDefault="007939C3" w:rsidP="00D75299">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2DED8367" w14:textId="77777777" w:rsidR="007939C3" w:rsidRPr="0032182C" w:rsidRDefault="007939C3" w:rsidP="00D75299">
            <w:pPr>
              <w:spacing w:after="0" w:line="240" w:lineRule="auto"/>
              <w:ind w:firstLine="567"/>
              <w:jc w:val="both"/>
              <w:rPr>
                <w:rFonts w:ascii="Verdana" w:hAnsi="Verdana"/>
                <w:sz w:val="20"/>
              </w:rPr>
            </w:pPr>
            <w:r>
              <w:rPr>
                <w:rFonts w:ascii="Verdana" w:hAnsi="Verdana"/>
                <w:sz w:val="20"/>
              </w:rPr>
              <w:t>(Signature)</w:t>
            </w:r>
          </w:p>
        </w:tc>
        <w:tc>
          <w:tcPr>
            <w:tcW w:w="701" w:type="dxa"/>
          </w:tcPr>
          <w:p w14:paraId="3E060A75" w14:textId="77777777" w:rsidR="007939C3" w:rsidRPr="0032182C" w:rsidRDefault="007939C3" w:rsidP="00D75299">
            <w:pPr>
              <w:spacing w:after="0" w:line="240" w:lineRule="auto"/>
              <w:ind w:firstLine="567"/>
              <w:jc w:val="both"/>
              <w:rPr>
                <w:rFonts w:ascii="Verdana" w:hAnsi="Verdana"/>
                <w:sz w:val="20"/>
                <w:lang w:eastAsia="en-US"/>
              </w:rPr>
            </w:pPr>
          </w:p>
        </w:tc>
        <w:tc>
          <w:tcPr>
            <w:tcW w:w="2645" w:type="dxa"/>
            <w:tcBorders>
              <w:top w:val="single" w:sz="4" w:space="0" w:color="auto"/>
              <w:left w:val="nil"/>
              <w:bottom w:val="nil"/>
              <w:right w:val="nil"/>
            </w:tcBorders>
          </w:tcPr>
          <w:p w14:paraId="7F852CD9" w14:textId="77777777" w:rsidR="007939C3" w:rsidRPr="0032182C" w:rsidRDefault="007939C3" w:rsidP="00D75299">
            <w:pPr>
              <w:spacing w:after="0" w:line="240" w:lineRule="auto"/>
              <w:jc w:val="both"/>
              <w:rPr>
                <w:rFonts w:ascii="Verdana" w:hAnsi="Verdana"/>
                <w:sz w:val="20"/>
              </w:rPr>
            </w:pPr>
            <w:r>
              <w:rPr>
                <w:rFonts w:ascii="Verdana" w:hAnsi="Verdana"/>
                <w:sz w:val="20"/>
              </w:rPr>
              <w:t>(Name and surname)</w:t>
            </w:r>
          </w:p>
        </w:tc>
        <w:tc>
          <w:tcPr>
            <w:tcW w:w="250" w:type="dxa"/>
          </w:tcPr>
          <w:p w14:paraId="6C0290C2" w14:textId="77777777" w:rsidR="007939C3" w:rsidRPr="0032182C" w:rsidRDefault="007939C3" w:rsidP="00D75299">
            <w:pPr>
              <w:spacing w:after="0" w:line="240" w:lineRule="auto"/>
              <w:ind w:firstLine="567"/>
              <w:jc w:val="both"/>
              <w:rPr>
                <w:rFonts w:ascii="Verdana" w:hAnsi="Verdana"/>
                <w:sz w:val="20"/>
                <w:lang w:eastAsia="en-US"/>
              </w:rPr>
            </w:pPr>
          </w:p>
        </w:tc>
      </w:tr>
    </w:tbl>
    <w:p w14:paraId="3520CC78" w14:textId="65ABE483" w:rsidR="00F67E75" w:rsidRPr="0032182C" w:rsidRDefault="00F67E75" w:rsidP="00CE3218">
      <w:pPr>
        <w:tabs>
          <w:tab w:val="center" w:pos="1134"/>
          <w:tab w:val="left" w:pos="1276"/>
          <w:tab w:val="left" w:pos="2127"/>
        </w:tabs>
        <w:spacing w:after="0" w:line="240" w:lineRule="auto"/>
        <w:ind w:right="468"/>
        <w:jc w:val="right"/>
        <w:rPr>
          <w:rFonts w:ascii="Verdana" w:hAnsi="Verdana"/>
          <w:b/>
          <w:sz w:val="20"/>
        </w:rPr>
      </w:pPr>
      <w:r>
        <w:rPr>
          <w:rFonts w:ascii="Verdana" w:hAnsi="Verdana"/>
          <w:sz w:val="20"/>
        </w:rPr>
        <w:lastRenderedPageBreak/>
        <w:t>Annex 3 to the Procurement Conditions</w:t>
      </w:r>
    </w:p>
    <w:p w14:paraId="00219C71" w14:textId="4650D81B" w:rsidR="00F67E75" w:rsidRPr="0032182C" w:rsidRDefault="00F67E75">
      <w:pPr>
        <w:spacing w:after="0" w:line="240" w:lineRule="auto"/>
        <w:rPr>
          <w:rFonts w:ascii="Verdana" w:eastAsia="Times New Roman" w:hAnsi="Verdana"/>
          <w:sz w:val="20"/>
          <w:lang w:eastAsia="en-US"/>
        </w:rPr>
      </w:pPr>
    </w:p>
    <w:p w14:paraId="7A8B184C" w14:textId="0B354CC5" w:rsidR="00F95BD5" w:rsidRPr="0032182C" w:rsidRDefault="00F95BD5" w:rsidP="002A5345">
      <w:pPr>
        <w:tabs>
          <w:tab w:val="center" w:pos="1134"/>
          <w:tab w:val="left" w:pos="1276"/>
          <w:tab w:val="left" w:pos="2127"/>
        </w:tabs>
        <w:spacing w:after="0" w:line="240" w:lineRule="auto"/>
        <w:ind w:right="468"/>
        <w:jc w:val="center"/>
        <w:rPr>
          <w:rFonts w:ascii="Verdana" w:hAnsi="Verdana"/>
          <w:b/>
          <w:sz w:val="20"/>
        </w:rPr>
      </w:pPr>
      <w:r>
        <w:rPr>
          <w:rFonts w:ascii="Verdana" w:hAnsi="Verdana"/>
          <w:b/>
          <w:sz w:val="20"/>
        </w:rPr>
        <w:t>EUROPEAN SINGLE PROCUREMENT DOCUMENT (ESPD)</w:t>
      </w:r>
    </w:p>
    <w:p w14:paraId="453004CF" w14:textId="77777777" w:rsidR="00F95BD5" w:rsidRPr="0032182C" w:rsidRDefault="00F95BD5" w:rsidP="00F95BD5">
      <w:pPr>
        <w:tabs>
          <w:tab w:val="center" w:pos="1134"/>
          <w:tab w:val="left" w:pos="1276"/>
          <w:tab w:val="left" w:pos="2127"/>
        </w:tabs>
        <w:spacing w:after="0" w:line="240" w:lineRule="auto"/>
        <w:ind w:right="468" w:firstLine="851"/>
        <w:jc w:val="right"/>
        <w:rPr>
          <w:rFonts w:ascii="Verdana" w:hAnsi="Verdana"/>
          <w:b/>
          <w:sz w:val="20"/>
        </w:rPr>
      </w:pPr>
      <w:bookmarkStart w:id="24" w:name="_Hlk208314059"/>
    </w:p>
    <w:p w14:paraId="5E3553F0" w14:textId="77777777" w:rsidR="00F95BD5" w:rsidRPr="0032182C" w:rsidRDefault="00F95BD5" w:rsidP="009C7ABC">
      <w:pPr>
        <w:tabs>
          <w:tab w:val="center" w:pos="1134"/>
          <w:tab w:val="left" w:pos="1276"/>
          <w:tab w:val="left" w:pos="2127"/>
        </w:tabs>
        <w:spacing w:after="0" w:line="240" w:lineRule="auto"/>
        <w:jc w:val="both"/>
        <w:rPr>
          <w:rFonts w:ascii="Verdana" w:hAnsi="Verdana"/>
          <w:bCs/>
          <w:i/>
          <w:iCs/>
          <w:sz w:val="20"/>
        </w:rPr>
      </w:pPr>
      <w:r>
        <w:rPr>
          <w:rFonts w:ascii="Verdana" w:hAnsi="Verdana"/>
          <w:i/>
          <w:sz w:val="20"/>
        </w:rPr>
        <w:t>The European Single Procurement Document (ESPD) is to be separately provided in .xml and pdf formats in Annex 3.</w:t>
      </w:r>
    </w:p>
    <w:bookmarkEnd w:id="24"/>
    <w:p w14:paraId="559F9C1F" w14:textId="3EE1F6C1" w:rsidR="00CE3218" w:rsidRPr="0032182C" w:rsidRDefault="00CE3218">
      <w:pPr>
        <w:spacing w:after="0" w:line="240" w:lineRule="auto"/>
        <w:rPr>
          <w:rFonts w:ascii="Verdana" w:eastAsia="Times New Roman" w:hAnsi="Verdana"/>
          <w:sz w:val="20"/>
          <w:lang w:eastAsia="en-US"/>
        </w:rPr>
      </w:pPr>
    </w:p>
    <w:p w14:paraId="48BC6F51" w14:textId="77777777" w:rsidR="002A5345" w:rsidRPr="0032182C" w:rsidRDefault="002A5345" w:rsidP="007119FB">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p>
    <w:p w14:paraId="330C78F9" w14:textId="77777777" w:rsidR="002A5345" w:rsidRPr="0032182C" w:rsidRDefault="002A5345" w:rsidP="007119FB">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p>
    <w:p w14:paraId="3CDF003A" w14:textId="77777777" w:rsidR="002A5345" w:rsidRPr="0032182C" w:rsidRDefault="002A5345">
      <w:pPr>
        <w:spacing w:after="0" w:line="240" w:lineRule="auto"/>
        <w:rPr>
          <w:rFonts w:ascii="Verdana" w:eastAsia="Times New Roman" w:hAnsi="Verdana"/>
          <w:sz w:val="20"/>
        </w:rPr>
      </w:pPr>
      <w:r>
        <w:br w:type="page"/>
      </w:r>
    </w:p>
    <w:p w14:paraId="103C9E49" w14:textId="0089ADD9" w:rsidR="00F36D8C" w:rsidRPr="0032182C" w:rsidRDefault="00F36D8C" w:rsidP="007119FB">
      <w:pPr>
        <w:tabs>
          <w:tab w:val="center" w:pos="1134"/>
          <w:tab w:val="left" w:pos="1276"/>
          <w:tab w:val="left" w:pos="2127"/>
        </w:tabs>
        <w:spacing w:after="0" w:line="240" w:lineRule="auto"/>
        <w:ind w:right="468" w:firstLine="851"/>
        <w:jc w:val="right"/>
        <w:rPr>
          <w:rFonts w:ascii="Verdana" w:hAnsi="Verdana"/>
          <w:b/>
          <w:sz w:val="20"/>
        </w:rPr>
      </w:pPr>
      <w:r>
        <w:rPr>
          <w:rFonts w:ascii="Verdana" w:hAnsi="Verdana"/>
          <w:sz w:val="20"/>
        </w:rPr>
        <w:lastRenderedPageBreak/>
        <w:t>Annex 4 to the Procurement Conditions</w:t>
      </w:r>
    </w:p>
    <w:p w14:paraId="487FB870" w14:textId="07778BD8" w:rsidR="00B11237" w:rsidRPr="0032182C" w:rsidRDefault="007119FB" w:rsidP="007119FB">
      <w:pPr>
        <w:tabs>
          <w:tab w:val="center" w:pos="1134"/>
          <w:tab w:val="left" w:pos="1276"/>
          <w:tab w:val="left" w:pos="2127"/>
        </w:tabs>
        <w:spacing w:after="0" w:line="240" w:lineRule="auto"/>
        <w:ind w:right="468" w:firstLine="851"/>
        <w:jc w:val="right"/>
        <w:rPr>
          <w:rFonts w:ascii="Verdana" w:eastAsia="Times New Roman" w:hAnsi="Verdana"/>
          <w:sz w:val="20"/>
        </w:rPr>
      </w:pPr>
      <w:r>
        <w:rPr>
          <w:rFonts w:ascii="Verdana" w:hAnsi="Verdana"/>
          <w:sz w:val="20"/>
        </w:rPr>
        <w:t xml:space="preserve"> </w:t>
      </w:r>
    </w:p>
    <w:p w14:paraId="1F6A7095" w14:textId="77777777" w:rsidR="009325E1" w:rsidRPr="0032182C" w:rsidRDefault="009325E1" w:rsidP="009325E1">
      <w:pPr>
        <w:widowControl w:val="0"/>
        <w:pBdr>
          <w:top w:val="nil"/>
          <w:left w:val="nil"/>
          <w:bottom w:val="nil"/>
          <w:right w:val="nil"/>
          <w:between w:val="nil"/>
        </w:pBdr>
        <w:tabs>
          <w:tab w:val="left" w:pos="567"/>
          <w:tab w:val="left" w:pos="851"/>
        </w:tabs>
        <w:jc w:val="center"/>
        <w:rPr>
          <w:rFonts w:ascii="Verdana" w:hAnsi="Verdana"/>
          <w:b/>
          <w:bCs/>
          <w:caps/>
          <w:sz w:val="20"/>
        </w:rPr>
      </w:pPr>
      <w:r>
        <w:rPr>
          <w:rFonts w:ascii="Verdana" w:hAnsi="Verdana"/>
          <w:b/>
          <w:caps/>
          <w:sz w:val="20"/>
        </w:rPr>
        <w:t>Special Terms and Conditions of the Contract for the Sale and Purchase of Services</w:t>
      </w:r>
    </w:p>
    <w:p w14:paraId="6706A97F" w14:textId="77777777" w:rsidR="00103862" w:rsidRPr="0032182C" w:rsidRDefault="00103862" w:rsidP="00103862">
      <w:pPr>
        <w:tabs>
          <w:tab w:val="center" w:pos="1134"/>
          <w:tab w:val="left" w:pos="1276"/>
          <w:tab w:val="left" w:pos="2127"/>
        </w:tabs>
        <w:spacing w:after="0" w:line="240" w:lineRule="auto"/>
        <w:ind w:right="468" w:firstLine="851"/>
        <w:jc w:val="right"/>
        <w:rPr>
          <w:rFonts w:ascii="Verdana" w:hAnsi="Verdana"/>
          <w:b/>
          <w:sz w:val="20"/>
        </w:rPr>
      </w:pPr>
    </w:p>
    <w:p w14:paraId="05A15A03" w14:textId="65CAA73D" w:rsidR="00103862" w:rsidRPr="0032182C" w:rsidRDefault="00103862" w:rsidP="00103862">
      <w:pPr>
        <w:tabs>
          <w:tab w:val="center" w:pos="1134"/>
          <w:tab w:val="left" w:pos="1276"/>
          <w:tab w:val="left" w:pos="2127"/>
        </w:tabs>
        <w:spacing w:after="0" w:line="240" w:lineRule="auto"/>
        <w:ind w:right="468"/>
        <w:jc w:val="both"/>
        <w:rPr>
          <w:rFonts w:ascii="Verdana" w:hAnsi="Verdana"/>
          <w:bCs/>
          <w:i/>
          <w:iCs/>
          <w:sz w:val="20"/>
        </w:rPr>
      </w:pPr>
      <w:r>
        <w:rPr>
          <w:rFonts w:ascii="Verdana" w:hAnsi="Verdana"/>
          <w:i/>
          <w:sz w:val="20"/>
        </w:rPr>
        <w:t>The draft agreement is to be separately presented in Annex 4.</w:t>
      </w:r>
    </w:p>
    <w:p w14:paraId="73CE2F10" w14:textId="3C5180BC" w:rsidR="00CA7122" w:rsidRPr="0032182C" w:rsidRDefault="00CA7122" w:rsidP="003E4F1D">
      <w:pPr>
        <w:spacing w:after="0" w:line="240" w:lineRule="auto"/>
        <w:rPr>
          <w:rFonts w:ascii="Verdana" w:hAnsi="Verdana"/>
          <w:bCs/>
          <w:i/>
          <w:iCs/>
          <w:sz w:val="20"/>
        </w:rPr>
      </w:pPr>
    </w:p>
    <w:sectPr w:rsidR="00CA7122" w:rsidRPr="0032182C" w:rsidSect="00D75299">
      <w:headerReference w:type="even" r:id="rId32"/>
      <w:headerReference w:type="default" r:id="rId33"/>
      <w:footerReference w:type="even" r:id="rId34"/>
      <w:footerReference w:type="default" r:id="rId35"/>
      <w:headerReference w:type="first" r:id="rId36"/>
      <w:footerReference w:type="first" r:id="rId37"/>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5F4F" w14:textId="77777777" w:rsidR="006573D0" w:rsidRDefault="006573D0">
      <w:pPr>
        <w:spacing w:after="0" w:line="240" w:lineRule="auto"/>
      </w:pPr>
      <w:r>
        <w:separator/>
      </w:r>
    </w:p>
  </w:endnote>
  <w:endnote w:type="continuationSeparator" w:id="0">
    <w:p w14:paraId="4F07E5C6" w14:textId="77777777" w:rsidR="006573D0" w:rsidRDefault="0065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auto"/>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6E81" w14:textId="7BAA78FF" w:rsidR="00AE32CB" w:rsidRDefault="00AE32CB">
    <w:pPr>
      <w:pStyle w:val="Footer"/>
    </w:pPr>
    <w:r>
      <w:rPr>
        <w:noProof/>
      </w:rPr>
      <mc:AlternateContent>
        <mc:Choice Requires="wps">
          <w:drawing>
            <wp:anchor distT="0" distB="0" distL="0" distR="0" simplePos="0" relativeHeight="251662336" behindDoc="0" locked="0" layoutInCell="1" allowOverlap="1" wp14:anchorId="55F0C805" wp14:editId="0C448F4E">
              <wp:simplePos x="635" y="635"/>
              <wp:positionH relativeFrom="page">
                <wp:align>right</wp:align>
              </wp:positionH>
              <wp:positionV relativeFrom="page">
                <wp:align>bottom</wp:align>
              </wp:positionV>
              <wp:extent cx="443865" cy="443865"/>
              <wp:effectExtent l="0" t="0" r="0" b="0"/>
              <wp:wrapNone/>
              <wp:docPr id="1719019157"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8DBB5A" w14:textId="40591EB9"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55F0C805"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088DBB5A" w14:textId="40591EB9"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67BF" w14:textId="0180427B" w:rsidR="00AE32CB" w:rsidRDefault="00AE32CB">
    <w:pPr>
      <w:pStyle w:val="Footer"/>
    </w:pPr>
    <w:r>
      <w:rPr>
        <w:noProof/>
      </w:rPr>
      <mc:AlternateContent>
        <mc:Choice Requires="wps">
          <w:drawing>
            <wp:anchor distT="0" distB="0" distL="0" distR="0" simplePos="0" relativeHeight="251663360" behindDoc="0" locked="0" layoutInCell="1" allowOverlap="1" wp14:anchorId="30831C4F" wp14:editId="11CBF3C3">
              <wp:simplePos x="901065" y="10009505"/>
              <wp:positionH relativeFrom="page">
                <wp:align>right</wp:align>
              </wp:positionH>
              <wp:positionV relativeFrom="page">
                <wp:align>bottom</wp:align>
              </wp:positionV>
              <wp:extent cx="443865" cy="443865"/>
              <wp:effectExtent l="0" t="0" r="0" b="0"/>
              <wp:wrapNone/>
              <wp:docPr id="245200424"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D9ACF4" w14:textId="19CCF817"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30831C4F"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60D9ACF4" w14:textId="19CCF817"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9CA8" w14:textId="0BD92D40" w:rsidR="00AE32CB" w:rsidRDefault="00AE32CB">
    <w:pPr>
      <w:pStyle w:val="Footer"/>
    </w:pPr>
    <w:r>
      <w:rPr>
        <w:noProof/>
      </w:rPr>
      <mc:AlternateContent>
        <mc:Choice Requires="wps">
          <w:drawing>
            <wp:anchor distT="0" distB="0" distL="0" distR="0" simplePos="0" relativeHeight="251661312" behindDoc="0" locked="0" layoutInCell="1" allowOverlap="1" wp14:anchorId="25A99770" wp14:editId="0BED78B0">
              <wp:simplePos x="900820" y="10008606"/>
              <wp:positionH relativeFrom="page">
                <wp:align>right</wp:align>
              </wp:positionH>
              <wp:positionV relativeFrom="page">
                <wp:align>bottom</wp:align>
              </wp:positionV>
              <wp:extent cx="443865" cy="443865"/>
              <wp:effectExtent l="0" t="0" r="0" b="0"/>
              <wp:wrapNone/>
              <wp:docPr id="1889013335"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D15D0E" w14:textId="25EBB6E8"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25A99770"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27D15D0E" w14:textId="25EBB6E8"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CE54B" w14:textId="77777777" w:rsidR="006573D0" w:rsidRDefault="006573D0">
      <w:pPr>
        <w:spacing w:after="0" w:line="240" w:lineRule="auto"/>
      </w:pPr>
      <w:r>
        <w:separator/>
      </w:r>
    </w:p>
  </w:footnote>
  <w:footnote w:type="continuationSeparator" w:id="0">
    <w:p w14:paraId="657FE749" w14:textId="77777777" w:rsidR="006573D0" w:rsidRDefault="006573D0">
      <w:pPr>
        <w:spacing w:after="0" w:line="240" w:lineRule="auto"/>
      </w:pPr>
      <w:r>
        <w:continuationSeparator/>
      </w:r>
    </w:p>
  </w:footnote>
  <w:footnote w:id="1">
    <w:p w14:paraId="2051895D" w14:textId="1C6F21D8" w:rsidR="00B83185" w:rsidRPr="00EB1635" w:rsidRDefault="00B83185">
      <w:pPr>
        <w:pStyle w:val="FootnoteText"/>
        <w:rPr>
          <w:rFonts w:asciiTheme="minorHAnsi" w:hAnsiTheme="minorHAnsi" w:cstheme="minorHAnsi"/>
        </w:rPr>
      </w:pPr>
      <w:r w:rsidRPr="00B83185">
        <w:rPr>
          <w:rStyle w:val="FootnoteReference"/>
        </w:rPr>
        <w:footnoteRef/>
      </w:r>
      <w:r w:rsidRPr="00B83185">
        <w:t xml:space="preserve"> </w:t>
      </w:r>
      <w:r w:rsidRPr="00EB1635">
        <w:rPr>
          <w:rFonts w:asciiTheme="minorHAnsi" w:hAnsiTheme="minorHAnsi" w:cstheme="minorHAnsi"/>
          <w:i/>
          <w:iCs/>
        </w:rPr>
        <w:t>In the case of the Procurement in accordance with the LPP. Contracting authorities conducting procurement in accordance with the LPP may set these requirements in the Procurement Documents at their discretion.</w:t>
      </w:r>
    </w:p>
  </w:footnote>
  <w:footnote w:id="2">
    <w:p w14:paraId="28C56AD0" w14:textId="49993A3B" w:rsidR="00B83185" w:rsidRPr="00EB1635" w:rsidRDefault="00B83185">
      <w:pPr>
        <w:pStyle w:val="FootnoteText"/>
        <w:rPr>
          <w:rFonts w:asciiTheme="minorHAnsi" w:hAnsiTheme="minorHAnsi" w:cstheme="minorHAnsi"/>
          <w:i/>
          <w:iCs/>
        </w:rPr>
      </w:pPr>
      <w:r w:rsidRPr="00EB1635">
        <w:rPr>
          <w:rStyle w:val="FootnoteReference"/>
          <w:rFonts w:asciiTheme="minorHAnsi" w:hAnsiTheme="minorHAnsi" w:cstheme="minorHAnsi"/>
        </w:rPr>
        <w:footnoteRef/>
      </w:r>
      <w:r w:rsidRPr="00EB1635">
        <w:rPr>
          <w:rFonts w:asciiTheme="minorHAnsi" w:hAnsiTheme="minorHAnsi" w:cstheme="minorHAnsi"/>
        </w:rPr>
        <w:t xml:space="preserve"> </w:t>
      </w:r>
      <w:r w:rsidRPr="00EB1635">
        <w:rPr>
          <w:rFonts w:asciiTheme="minorHAnsi" w:hAnsiTheme="minorHAnsi" w:cstheme="minorHAnsi"/>
          <w:i/>
          <w:iCs/>
        </w:rPr>
        <w:t>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w:t>
      </w:r>
    </w:p>
    <w:p w14:paraId="59EEDFA2" w14:textId="1C593766" w:rsidR="00B83185" w:rsidRPr="00EB1635" w:rsidRDefault="00B83185" w:rsidP="00B83185">
      <w:pPr>
        <w:pStyle w:val="FootnoteText"/>
        <w:numPr>
          <w:ilvl w:val="0"/>
          <w:numId w:val="68"/>
        </w:numPr>
        <w:rPr>
          <w:rFonts w:asciiTheme="minorHAnsi" w:hAnsiTheme="minorHAnsi" w:cstheme="minorHAnsi"/>
          <w:i/>
          <w:iCs/>
        </w:rPr>
      </w:pPr>
      <w:r w:rsidRPr="00EB1635">
        <w:rPr>
          <w:rFonts w:asciiTheme="minorHAnsi" w:hAnsiTheme="minorHAnsi" w:cstheme="minorHAnsi"/>
          <w:i/>
          <w:iCs/>
        </w:rPr>
        <w:t>a declaration on oath;</w:t>
      </w:r>
    </w:p>
    <w:p w14:paraId="48434113" w14:textId="1EC0C022" w:rsidR="00B83185" w:rsidRPr="00EB1635" w:rsidRDefault="00B83185" w:rsidP="00B83185">
      <w:pPr>
        <w:pStyle w:val="FootnoteText"/>
        <w:numPr>
          <w:ilvl w:val="0"/>
          <w:numId w:val="68"/>
        </w:numPr>
        <w:rPr>
          <w:rFonts w:asciiTheme="minorHAnsi" w:hAnsiTheme="minorHAnsi" w:cstheme="minorHAnsi"/>
          <w:i/>
          <w:iCs/>
        </w:rPr>
      </w:pPr>
      <w:r w:rsidRPr="00EB1635">
        <w:rPr>
          <w:rFonts w:asciiTheme="minorHAnsi" w:hAnsiTheme="minorHAnsi" w:cstheme="minorHAnsi"/>
          <w:i/>
          <w:iCs/>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3">
    <w:p w14:paraId="2A0830D4" w14:textId="77BE013A" w:rsidR="00EB1635" w:rsidRPr="00EB1635" w:rsidRDefault="00EB1635">
      <w:pPr>
        <w:pStyle w:val="FootnoteText"/>
        <w:rPr>
          <w:rFonts w:asciiTheme="minorHAnsi" w:hAnsiTheme="minorHAnsi" w:cstheme="minorHAnsi"/>
          <w:i/>
          <w:iCs/>
        </w:rPr>
      </w:pPr>
      <w:r>
        <w:rPr>
          <w:rStyle w:val="FootnoteReference"/>
        </w:rPr>
        <w:footnoteRef/>
      </w:r>
      <w:r>
        <w:t xml:space="preserve"> </w:t>
      </w:r>
      <w:r w:rsidRPr="00EB1635">
        <w:rPr>
          <w:rFonts w:asciiTheme="minorHAnsi" w:hAnsiTheme="minorHAnsi" w:cstheme="minorHAnsi"/>
          <w:i/>
          <w:iCs/>
        </w:rPr>
        <w:t>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w:t>
      </w:r>
    </w:p>
    <w:p w14:paraId="300E5483" w14:textId="280143CC" w:rsidR="00EB1635" w:rsidRPr="00EB1635" w:rsidRDefault="00EB1635" w:rsidP="00EB1635">
      <w:pPr>
        <w:pStyle w:val="FootnoteText"/>
        <w:numPr>
          <w:ilvl w:val="0"/>
          <w:numId w:val="69"/>
        </w:numPr>
        <w:rPr>
          <w:rFonts w:asciiTheme="minorHAnsi" w:hAnsiTheme="minorHAnsi" w:cstheme="minorHAnsi"/>
          <w:i/>
          <w:iCs/>
        </w:rPr>
      </w:pPr>
      <w:r w:rsidRPr="00EB1635">
        <w:rPr>
          <w:rFonts w:asciiTheme="minorHAnsi" w:hAnsiTheme="minorHAnsi" w:cstheme="minorHAnsi"/>
          <w:i/>
          <w:iCs/>
        </w:rPr>
        <w:t>a declaration on oath;</w:t>
      </w:r>
    </w:p>
    <w:p w14:paraId="3B8DCCA8" w14:textId="451714C6" w:rsidR="00EB1635" w:rsidRPr="00EB1635" w:rsidRDefault="00EB1635" w:rsidP="00EB1635">
      <w:pPr>
        <w:pStyle w:val="FootnoteText"/>
        <w:numPr>
          <w:ilvl w:val="0"/>
          <w:numId w:val="69"/>
        </w:numPr>
        <w:rPr>
          <w:rFonts w:asciiTheme="minorHAnsi" w:hAnsiTheme="minorHAnsi" w:cstheme="minorHAnsi"/>
          <w:i/>
          <w:iCs/>
        </w:rPr>
      </w:pPr>
      <w:r w:rsidRPr="00EB1635">
        <w:rPr>
          <w:rFonts w:asciiTheme="minorHAnsi" w:hAnsiTheme="minorHAnsi" w:cstheme="minorHAnsi"/>
          <w:i/>
          <w:iCs/>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4">
    <w:p w14:paraId="16FE641A" w14:textId="5D678A0F" w:rsidR="006F0814" w:rsidRPr="00E222C9" w:rsidRDefault="006F0814">
      <w:pPr>
        <w:pStyle w:val="FootnoteText"/>
        <w:rPr>
          <w:rFonts w:asciiTheme="minorHAnsi" w:hAnsiTheme="minorHAnsi" w:cstheme="minorHAnsi"/>
          <w:i/>
          <w:iCs/>
        </w:rPr>
      </w:pPr>
      <w:r w:rsidRPr="00E222C9">
        <w:rPr>
          <w:rStyle w:val="FootnoteReference"/>
          <w:rFonts w:asciiTheme="minorHAnsi" w:hAnsiTheme="minorHAnsi" w:cstheme="minorHAnsi"/>
        </w:rPr>
        <w:footnoteRef/>
      </w:r>
      <w:r w:rsidRPr="00E222C9">
        <w:rPr>
          <w:rFonts w:asciiTheme="minorHAnsi" w:hAnsiTheme="minorHAnsi" w:cstheme="minorHAnsi"/>
        </w:rPr>
        <w:t xml:space="preserve"> </w:t>
      </w:r>
      <w:r w:rsidRPr="00E222C9">
        <w:rPr>
          <w:rFonts w:asciiTheme="minorHAnsi" w:hAnsiTheme="minorHAnsi" w:cstheme="minorHAnsi"/>
          <w:i/>
          <w:iCs/>
        </w:rPr>
        <w:t>If the Supplier is unable to provide the specified documents proving that there are no grounds for exclusion provided for in Articles 46(1) and (3) and Article 46(6)(2) of the Republic of Lithuania Law on Public Procurement because such documents are not issued in the Member State or the country concerned, or the documents issued in that country do not cover all the issues raised in Articles 46(1) and (3) and Article 46(6)(2), they may be replaced with:</w:t>
      </w:r>
    </w:p>
    <w:p w14:paraId="6C37C361" w14:textId="3DA33825" w:rsidR="006F0814" w:rsidRPr="00E222C9" w:rsidRDefault="006F0814" w:rsidP="006F0814">
      <w:pPr>
        <w:pStyle w:val="FootnoteText"/>
        <w:numPr>
          <w:ilvl w:val="0"/>
          <w:numId w:val="70"/>
        </w:numPr>
        <w:rPr>
          <w:rFonts w:asciiTheme="minorHAnsi" w:hAnsiTheme="minorHAnsi" w:cstheme="minorHAnsi"/>
          <w:i/>
          <w:iCs/>
        </w:rPr>
      </w:pPr>
      <w:r w:rsidRPr="00E222C9">
        <w:rPr>
          <w:rFonts w:asciiTheme="minorHAnsi" w:hAnsiTheme="minorHAnsi" w:cstheme="minorHAnsi"/>
          <w:i/>
          <w:iCs/>
        </w:rPr>
        <w:t>a declaration on oath;</w:t>
      </w:r>
    </w:p>
    <w:p w14:paraId="5A995570" w14:textId="62A81495" w:rsidR="006F0814" w:rsidRPr="00E222C9" w:rsidRDefault="00E222C9" w:rsidP="006F0814">
      <w:pPr>
        <w:pStyle w:val="FootnoteText"/>
        <w:numPr>
          <w:ilvl w:val="0"/>
          <w:numId w:val="70"/>
        </w:numPr>
      </w:pPr>
      <w:r w:rsidRPr="00E222C9">
        <w:rPr>
          <w:rFonts w:asciiTheme="minorHAnsi" w:hAnsiTheme="minorHAnsi" w:cstheme="minorHAnsi"/>
          <w:i/>
          <w:iCs/>
        </w:rPr>
        <w:t>the Supplier’s official declaration if declarations on oath are not used in their respective country. The official declaration shall be approved by a competent legal or administrative institution, notary or competent labour or trade organisation of the respective member state, the Supplier’s country of origin or the country the Supplier is registered to.</w:t>
      </w:r>
    </w:p>
  </w:footnote>
  <w:footnote w:id="5">
    <w:p w14:paraId="630BF97D" w14:textId="77BB6DE9" w:rsidR="00E222C9" w:rsidRPr="00E222C9" w:rsidRDefault="00E222C9">
      <w:pPr>
        <w:pStyle w:val="FootnoteText"/>
        <w:rPr>
          <w:lang w:val="lt-LT"/>
        </w:rPr>
      </w:pPr>
      <w:r>
        <w:rPr>
          <w:rStyle w:val="FootnoteReference"/>
        </w:rPr>
        <w:footnoteRef/>
      </w:r>
      <w:r>
        <w:t xml:space="preserve"> </w:t>
      </w:r>
      <w:r w:rsidRPr="00E222C9">
        <w:t>See https://eimin.lrv.lt/lt/veiklos-sritys/verslo-aplinka/reglamentuojamu-profesiniu-kvalifikaciju-pripazinimas and special legislation.</w:t>
      </w:r>
    </w:p>
  </w:footnote>
  <w:footnote w:id="6">
    <w:p w14:paraId="1A60BA37" w14:textId="2AB60F17" w:rsidR="00E222C9" w:rsidRPr="00E222C9" w:rsidRDefault="00E222C9">
      <w:pPr>
        <w:pStyle w:val="FootnoteText"/>
        <w:rPr>
          <w:lang w:val="lt-LT"/>
        </w:rPr>
      </w:pPr>
      <w:r>
        <w:rPr>
          <w:rStyle w:val="FootnoteReference"/>
        </w:rPr>
        <w:footnoteRef/>
      </w:r>
      <w:r>
        <w:t xml:space="preserve"> </w:t>
      </w:r>
      <w:r w:rsidRPr="00E222C9">
        <w:t>Where the Tender is signed by the person authorised by the Supplier’s manager, a written power of attorney or another document granting the right of signature shall be attached to the 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B1C0" w14:textId="3FEBBDD6" w:rsidR="00AE32CB" w:rsidRDefault="00AE32CB">
    <w:pPr>
      <w:pStyle w:val="Header"/>
    </w:pPr>
    <w:r>
      <w:rPr>
        <w:noProof/>
      </w:rPr>
      <mc:AlternateContent>
        <mc:Choice Requires="wps">
          <w:drawing>
            <wp:anchor distT="0" distB="0" distL="0" distR="0" simplePos="0" relativeHeight="251659264" behindDoc="0" locked="0" layoutInCell="1" allowOverlap="1" wp14:anchorId="51DE8179" wp14:editId="674A0262">
              <wp:simplePos x="635" y="635"/>
              <wp:positionH relativeFrom="page">
                <wp:align>right</wp:align>
              </wp:positionH>
              <wp:positionV relativeFrom="page">
                <wp:align>top</wp:align>
              </wp:positionV>
              <wp:extent cx="443865" cy="443865"/>
              <wp:effectExtent l="0" t="0" r="0" b="12065"/>
              <wp:wrapNone/>
              <wp:docPr id="1115729566"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65A6CD" w14:textId="3FBD0840"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51DE8179" id="_x0000_t202" coordsize="21600,21600" o:spt="202" path="m,l,21600r21600,l21600,xe">
              <v:stroke joinstyle="miter"/>
              <v:path gradientshapeok="t" o:connecttype="rect"/>
            </v:shapetype>
            <v:shape id="Text Box 2" o:spid="_x0000_s1026" type="#_x0000_t202" alt="LB NEVIEŠA (UNRESTRICTED)"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D65A6CD" w14:textId="3FBD0840"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651C8FB" w:rsidR="003D3826" w:rsidRPr="0021338D" w:rsidRDefault="00AE32CB" w:rsidP="0021338D">
    <w:pPr>
      <w:pStyle w:val="Header"/>
      <w:jc w:val="center"/>
      <w:rPr>
        <w:noProof/>
      </w:rPr>
    </w:pPr>
    <w:r>
      <w:rPr>
        <w:noProof/>
      </w:rPr>
      <mc:AlternateContent>
        <mc:Choice Requires="wps">
          <w:drawing>
            <wp:anchor distT="0" distB="0" distL="0" distR="0" simplePos="0" relativeHeight="251660288" behindDoc="0" locked="0" layoutInCell="1" allowOverlap="1" wp14:anchorId="4A981522" wp14:editId="5990D17C">
              <wp:simplePos x="901065" y="360680"/>
              <wp:positionH relativeFrom="page">
                <wp:align>right</wp:align>
              </wp:positionH>
              <wp:positionV relativeFrom="page">
                <wp:align>top</wp:align>
              </wp:positionV>
              <wp:extent cx="443865" cy="443865"/>
              <wp:effectExtent l="0" t="0" r="0" b="12065"/>
              <wp:wrapNone/>
              <wp:docPr id="463948223"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FB2BF4" w14:textId="43D1FFE4"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4A981522"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9FB2BF4" w14:textId="43D1FFE4"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r w:rsidR="003D3826">
      <w:fldChar w:fldCharType="begin"/>
    </w:r>
    <w:r w:rsidR="003D3826">
      <w:instrText xml:space="preserve"> PAGE   \* MERGEFORMAT </w:instrText>
    </w:r>
    <w:r w:rsidR="003D3826">
      <w:fldChar w:fldCharType="separate"/>
    </w:r>
    <w:r w:rsidR="003D3826">
      <w:t>11</w:t>
    </w:r>
    <w:r w:rsidR="003D3826">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DCF5D" w14:textId="470DCC5E" w:rsidR="003D3826" w:rsidRPr="00AE544D" w:rsidRDefault="00AE32CB" w:rsidP="007A19DE">
    <w:pPr>
      <w:pStyle w:val="Header"/>
      <w:ind w:left="7371"/>
      <w:jc w:val="left"/>
      <w:rPr>
        <w:rFonts w:ascii="Verdana" w:hAnsi="Verdana"/>
        <w:sz w:val="20"/>
      </w:rPr>
    </w:pPr>
    <w:r>
      <w:rPr>
        <w:rFonts w:ascii="Verdana" w:hAnsi="Verdana"/>
        <w:noProof/>
        <w:sz w:val="20"/>
      </w:rPr>
      <mc:AlternateContent>
        <mc:Choice Requires="wps">
          <w:drawing>
            <wp:anchor distT="0" distB="0" distL="0" distR="0" simplePos="0" relativeHeight="251658240" behindDoc="0" locked="0" layoutInCell="1" allowOverlap="1" wp14:anchorId="77660564" wp14:editId="3231AA16">
              <wp:simplePos x="900820" y="362139"/>
              <wp:positionH relativeFrom="page">
                <wp:align>right</wp:align>
              </wp:positionH>
              <wp:positionV relativeFrom="page">
                <wp:align>top</wp:align>
              </wp:positionV>
              <wp:extent cx="443865" cy="443865"/>
              <wp:effectExtent l="0" t="0" r="0" b="12065"/>
              <wp:wrapNone/>
              <wp:docPr id="1271977594"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DA4D70" w14:textId="74D9AE8E"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77660564" id="_x0000_t202" coordsize="21600,21600" o:spt="202" path="m,l,21600r21600,l21600,xe">
              <v:stroke joinstyle="miter"/>
              <v:path gradientshapeok="t" o:connecttype="rect"/>
            </v:shapetype>
            <v:shape id="Text Box 1" o:spid="_x0000_s1030" type="#_x0000_t202" alt="LB NEVIEŠA (UNRESTRICTED)"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7FDA4D70" w14:textId="74D9AE8E" w:rsidR="00AE32CB" w:rsidRPr="00AE32CB" w:rsidRDefault="00AE32CB" w:rsidP="00AE32CB">
                    <w:pPr>
                      <w:spacing w:after="0"/>
                      <w:rPr>
                        <w:rFonts w:ascii="Calibri" w:hAnsi="Calibri" w:cs="Calibri"/>
                        <w:noProof/>
                        <w:color w:val="000000"/>
                        <w:sz w:val="20"/>
                      </w:rPr>
                    </w:pPr>
                    <w:r>
                      <w:rPr>
                        <w:rFonts w:ascii="Calibri" w:hAnsi="Calibri"/>
                        <w:color w:val="000000"/>
                        <w:sz w:val="20"/>
                      </w:rPr>
                      <w:t>LB NON-PUBLIC (UNRESTRICTED)</w:t>
                    </w:r>
                  </w:p>
                </w:txbxContent>
              </v:textbox>
              <w10:wrap anchorx="page" anchory="page"/>
            </v:shape>
          </w:pict>
        </mc:Fallback>
      </mc:AlternateContent>
    </w:r>
    <w:r>
      <w:rPr>
        <w:rFonts w:ascii="Verdana" w:hAnsi="Verdana"/>
        <w:sz w:val="20"/>
      </w:rPr>
      <w:t xml:space="preserve">Approved by </w:t>
    </w:r>
  </w:p>
  <w:p w14:paraId="4B1B49F7" w14:textId="77777777" w:rsidR="003D3826" w:rsidRPr="00AE544D" w:rsidRDefault="003D3826" w:rsidP="007A19DE">
    <w:pPr>
      <w:pStyle w:val="Header"/>
      <w:ind w:left="7371"/>
      <w:jc w:val="left"/>
      <w:rPr>
        <w:rFonts w:ascii="Verdana" w:hAnsi="Verdana"/>
        <w:sz w:val="20"/>
      </w:rPr>
    </w:pPr>
    <w:r>
      <w:rPr>
        <w:rFonts w:ascii="Verdana" w:hAnsi="Verdana"/>
        <w:sz w:val="20"/>
      </w:rPr>
      <w:t xml:space="preserve">Public Procurement Commission </w:t>
    </w:r>
  </w:p>
  <w:p w14:paraId="1DE54274" w14:textId="4277A8C8" w:rsidR="003D3826" w:rsidRPr="00AE544D" w:rsidRDefault="003D3826" w:rsidP="007A19DE">
    <w:pPr>
      <w:pStyle w:val="Header"/>
      <w:ind w:left="7371"/>
      <w:jc w:val="left"/>
      <w:rPr>
        <w:rFonts w:ascii="Verdana" w:hAnsi="Verdana"/>
        <w:sz w:val="20"/>
      </w:rPr>
    </w:pPr>
    <w:r>
      <w:rPr>
        <w:rFonts w:ascii="Verdana" w:hAnsi="Verdana"/>
        <w:sz w:val="20"/>
      </w:rPr>
      <w:t xml:space="preserve">Meeting of </w:t>
    </w:r>
    <w:r w:rsidR="000203DC">
      <w:rPr>
        <w:rFonts w:ascii="Verdana" w:hAnsi="Verdana"/>
        <w:sz w:val="20"/>
      </w:rPr>
      <w:t>18</w:t>
    </w:r>
    <w:r>
      <w:rPr>
        <w:rFonts w:ascii="Verdana" w:hAnsi="Verdana"/>
        <w:sz w:val="20"/>
      </w:rPr>
      <w:t>.</w:t>
    </w:r>
    <w:r w:rsidR="000203DC">
      <w:rPr>
        <w:rFonts w:ascii="Verdana" w:hAnsi="Verdana"/>
        <w:sz w:val="20"/>
      </w:rPr>
      <w:t>12</w:t>
    </w:r>
    <w:r>
      <w:rPr>
        <w:rFonts w:ascii="Verdana" w:hAnsi="Verdana"/>
        <w:sz w:val="20"/>
      </w:rPr>
      <w:t>.2025</w:t>
    </w:r>
  </w:p>
  <w:p w14:paraId="7A3BC3F0" w14:textId="100E1404" w:rsidR="003D3826" w:rsidRPr="00AE544D" w:rsidRDefault="003D3826" w:rsidP="007A19DE">
    <w:pPr>
      <w:pStyle w:val="Header"/>
      <w:ind w:left="7371"/>
      <w:jc w:val="left"/>
      <w:rPr>
        <w:rFonts w:ascii="Verdana" w:hAnsi="Verdana"/>
        <w:sz w:val="20"/>
      </w:rPr>
    </w:pPr>
    <w:r>
      <w:rPr>
        <w:rFonts w:ascii="Verdana" w:hAnsi="Verdana"/>
        <w:sz w:val="20"/>
      </w:rPr>
      <w:t>Minutes No 1</w:t>
    </w:r>
  </w:p>
  <w:p w14:paraId="4D59DFA2" w14:textId="77777777" w:rsidR="003D3826" w:rsidRDefault="003D3826">
    <w:pPr>
      <w:pStyle w:val="Header"/>
      <w:rPr>
        <w:lang w:val="lt-LT"/>
      </w:rPr>
    </w:pPr>
  </w:p>
  <w:p w14:paraId="4CD53096" w14:textId="77777777" w:rsidR="003D3826" w:rsidRPr="00D75299" w:rsidRDefault="003D3826" w:rsidP="00D75299">
    <w:pPr>
      <w:pStyle w:val="Header"/>
      <w:jc w:val="center"/>
    </w:pPr>
    <w:r>
      <w:rPr>
        <w:noProof/>
      </w:rPr>
      <w:drawing>
        <wp:inline distT="0" distB="0" distL="0" distR="0" wp14:anchorId="06C45CDE" wp14:editId="07777777">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08A"/>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A2834"/>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B11BC"/>
    <w:multiLevelType w:val="hybridMultilevel"/>
    <w:tmpl w:val="46D235E8"/>
    <w:lvl w:ilvl="0" w:tplc="61A44BD6">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C16399"/>
    <w:multiLevelType w:val="multilevel"/>
    <w:tmpl w:val="2AA45080"/>
    <w:lvl w:ilvl="0">
      <w:start w:val="1"/>
      <w:numFmt w:val="upperRoman"/>
      <w:lvlText w:val="%1."/>
      <w:lvlJc w:val="center"/>
      <w:pPr>
        <w:ind w:left="0" w:firstLine="288"/>
      </w:pPr>
      <w:rPr>
        <w:rFonts w:ascii="Times New Roman" w:hAnsi="Times New Roman" w:hint="default"/>
        <w:b/>
        <w:i w:val="0"/>
        <w:sz w:val="28"/>
      </w:rPr>
    </w:lvl>
    <w:lvl w:ilvl="1">
      <w:start w:val="1"/>
      <w:numFmt w:val="decimal"/>
      <w:lvlRestart w:val="0"/>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ascii="Times New Roman" w:hAnsi="Times New Roman" w:hint="default"/>
        <w:b w:val="0"/>
        <w:i w:val="0"/>
        <w:sz w:val="24"/>
      </w:rPr>
    </w:lvl>
    <w:lvl w:ilvl="5">
      <w:start w:val="1"/>
      <w:numFmt w:val="decimal"/>
      <w:pStyle w:val="TS111"/>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5" w15:restartNumberingAfterBreak="0">
    <w:nsid w:val="0D563BD9"/>
    <w:multiLevelType w:val="hybridMultilevel"/>
    <w:tmpl w:val="6D54C046"/>
    <w:lvl w:ilvl="0" w:tplc="951823C8">
      <w:start w:val="1"/>
      <w:numFmt w:val="decimal"/>
      <w:lvlText w:val="6.1.%1"/>
      <w:lvlJc w:val="left"/>
      <w:pPr>
        <w:ind w:left="3207" w:hanging="360"/>
      </w:pPr>
      <w:rPr>
        <w:rFonts w:hint="default"/>
        <w:b/>
      </w:rPr>
    </w:lvl>
    <w:lvl w:ilvl="1" w:tplc="04270019" w:tentative="1">
      <w:start w:val="1"/>
      <w:numFmt w:val="lowerLetter"/>
      <w:lvlText w:val="%2."/>
      <w:lvlJc w:val="left"/>
      <w:pPr>
        <w:ind w:left="3927" w:hanging="360"/>
      </w:pPr>
    </w:lvl>
    <w:lvl w:ilvl="2" w:tplc="0427001B" w:tentative="1">
      <w:start w:val="1"/>
      <w:numFmt w:val="lowerRoman"/>
      <w:lvlText w:val="%3."/>
      <w:lvlJc w:val="right"/>
      <w:pPr>
        <w:ind w:left="4647" w:hanging="180"/>
      </w:pPr>
    </w:lvl>
    <w:lvl w:ilvl="3" w:tplc="0427000F" w:tentative="1">
      <w:start w:val="1"/>
      <w:numFmt w:val="decimal"/>
      <w:lvlText w:val="%4."/>
      <w:lvlJc w:val="left"/>
      <w:pPr>
        <w:ind w:left="5367" w:hanging="360"/>
      </w:pPr>
    </w:lvl>
    <w:lvl w:ilvl="4" w:tplc="04270019" w:tentative="1">
      <w:start w:val="1"/>
      <w:numFmt w:val="lowerLetter"/>
      <w:lvlText w:val="%5."/>
      <w:lvlJc w:val="left"/>
      <w:pPr>
        <w:ind w:left="6087" w:hanging="360"/>
      </w:pPr>
    </w:lvl>
    <w:lvl w:ilvl="5" w:tplc="0427001B" w:tentative="1">
      <w:start w:val="1"/>
      <w:numFmt w:val="lowerRoman"/>
      <w:lvlText w:val="%6."/>
      <w:lvlJc w:val="right"/>
      <w:pPr>
        <w:ind w:left="6807" w:hanging="180"/>
      </w:pPr>
    </w:lvl>
    <w:lvl w:ilvl="6" w:tplc="0427000F" w:tentative="1">
      <w:start w:val="1"/>
      <w:numFmt w:val="decimal"/>
      <w:lvlText w:val="%7."/>
      <w:lvlJc w:val="left"/>
      <w:pPr>
        <w:ind w:left="7527" w:hanging="360"/>
      </w:pPr>
    </w:lvl>
    <w:lvl w:ilvl="7" w:tplc="04270019" w:tentative="1">
      <w:start w:val="1"/>
      <w:numFmt w:val="lowerLetter"/>
      <w:lvlText w:val="%8."/>
      <w:lvlJc w:val="left"/>
      <w:pPr>
        <w:ind w:left="8247" w:hanging="360"/>
      </w:pPr>
    </w:lvl>
    <w:lvl w:ilvl="8" w:tplc="0427001B" w:tentative="1">
      <w:start w:val="1"/>
      <w:numFmt w:val="lowerRoman"/>
      <w:lvlText w:val="%9."/>
      <w:lvlJc w:val="right"/>
      <w:pPr>
        <w:ind w:left="8967"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2A795B"/>
    <w:multiLevelType w:val="hybridMultilevel"/>
    <w:tmpl w:val="07A81CEC"/>
    <w:lvl w:ilvl="0" w:tplc="060AF0F8">
      <w:start w:val="1"/>
      <w:numFmt w:val="decimal"/>
      <w:lvlText w:val="2.%1"/>
      <w:lvlJc w:val="left"/>
      <w:pPr>
        <w:ind w:left="4613"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2494F"/>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F1096B"/>
    <w:multiLevelType w:val="hybridMultilevel"/>
    <w:tmpl w:val="F642063C"/>
    <w:lvl w:ilvl="0" w:tplc="E13C7F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9A361B"/>
    <w:multiLevelType w:val="multilevel"/>
    <w:tmpl w:val="1F3A4F2A"/>
    <w:lvl w:ilvl="0">
      <w:start w:val="1"/>
      <w:numFmt w:val="decimal"/>
      <w:lvlText w:val="%1."/>
      <w:lvlJc w:val="left"/>
      <w:pPr>
        <w:ind w:left="720" w:hanging="360"/>
      </w:pPr>
      <w:rPr>
        <w:rFonts w:hint="default"/>
        <w:color w:val="auto"/>
      </w:rPr>
    </w:lvl>
    <w:lvl w:ilvl="1">
      <w:start w:val="1"/>
      <w:numFmt w:val="decimal"/>
      <w:isLgl/>
      <w:lvlText w:val="%1.%2."/>
      <w:lvlJc w:val="left"/>
      <w:pPr>
        <w:ind w:left="3555" w:hanging="720"/>
      </w:pPr>
      <w:rPr>
        <w:rFonts w:hint="default"/>
        <w:b w:val="0"/>
        <w:b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A4255FC"/>
    <w:multiLevelType w:val="hybridMultilevel"/>
    <w:tmpl w:val="782C9E58"/>
    <w:lvl w:ilvl="0" w:tplc="E29E80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2"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0"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F8013B"/>
    <w:multiLevelType w:val="hybridMultilevel"/>
    <w:tmpl w:val="7B2E3384"/>
    <w:lvl w:ilvl="0" w:tplc="3EEC37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7"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5BBA2DC7"/>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FF1627B"/>
    <w:multiLevelType w:val="multilevel"/>
    <w:tmpl w:val="5164E998"/>
    <w:lvl w:ilvl="0">
      <w:start w:val="2"/>
      <w:numFmt w:val="decimal"/>
      <w:lvlText w:val="%1."/>
      <w:lvlJc w:val="left"/>
      <w:pPr>
        <w:ind w:left="644" w:hanging="360"/>
      </w:pPr>
      <w:rPr>
        <w:rFonts w:hint="default"/>
        <w:b/>
        <w:i w:val="0"/>
        <w:color w:val="auto"/>
      </w:rPr>
    </w:lvl>
    <w:lvl w:ilvl="1">
      <w:start w:val="1"/>
      <w:numFmt w:val="decimal"/>
      <w:isLgl/>
      <w:lvlText w:val="%1.%2."/>
      <w:lvlJc w:val="left"/>
      <w:pPr>
        <w:ind w:left="1697" w:hanging="420"/>
      </w:pPr>
      <w:rPr>
        <w:rFonts w:hint="default"/>
        <w:b w:val="0"/>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2"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1B867A7"/>
    <w:multiLevelType w:val="hybridMultilevel"/>
    <w:tmpl w:val="0A6404FA"/>
    <w:lvl w:ilvl="0" w:tplc="4AEA55DA">
      <w:start w:val="1"/>
      <w:numFmt w:val="decimal"/>
      <w:lvlText w:val="4.%1"/>
      <w:lvlJc w:val="left"/>
      <w:pPr>
        <w:ind w:left="1211" w:hanging="360"/>
      </w:pPr>
      <w:rPr>
        <w:rFonts w:hint="default"/>
        <w:b/>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5" w15:restartNumberingAfterBreak="0">
    <w:nsid w:val="71EF2800"/>
    <w:multiLevelType w:val="hybridMultilevel"/>
    <w:tmpl w:val="F6E8D7A4"/>
    <w:lvl w:ilvl="0" w:tplc="2C5411D8">
      <w:start w:val="1"/>
      <w:numFmt w:val="bullet"/>
      <w:lvlText w:val="-"/>
      <w:lvlJc w:val="left"/>
      <w:pPr>
        <w:ind w:left="1656" w:hanging="360"/>
      </w:pPr>
      <w:rPr>
        <w:rFonts w:ascii="Verdana" w:eastAsia="Times New Roman" w:hAnsi="Verdana"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56" w15:restartNumberingAfterBreak="0">
    <w:nsid w:val="72D348C2"/>
    <w:multiLevelType w:val="hybridMultilevel"/>
    <w:tmpl w:val="7348FE16"/>
    <w:lvl w:ilvl="0" w:tplc="4BA0C50E">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3880749"/>
    <w:multiLevelType w:val="multilevel"/>
    <w:tmpl w:val="F4DADCB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8" w15:restartNumberingAfterBreak="0">
    <w:nsid w:val="73E73D26"/>
    <w:multiLevelType w:val="hybridMultilevel"/>
    <w:tmpl w:val="6928B8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62" w15:restartNumberingAfterBreak="0">
    <w:nsid w:val="76DB021C"/>
    <w:multiLevelType w:val="hybridMultilevel"/>
    <w:tmpl w:val="6928B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4"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5"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EA244A"/>
    <w:multiLevelType w:val="hybridMultilevel"/>
    <w:tmpl w:val="2BD2A2B2"/>
    <w:lvl w:ilvl="0" w:tplc="8522F54C">
      <w:numFmt w:val="bullet"/>
      <w:lvlText w:val="-"/>
      <w:lvlJc w:val="left"/>
      <w:pPr>
        <w:ind w:left="1440" w:hanging="360"/>
      </w:pPr>
      <w:rPr>
        <w:rFonts w:ascii="Calibri" w:eastAsia="Times New Roman" w:hAnsi="Calibri" w:cs="Calibri" w:hint="default"/>
        <w:b/>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9" w15:restartNumberingAfterBreak="0">
    <w:nsid w:val="7F774A8A"/>
    <w:multiLevelType w:val="multilevel"/>
    <w:tmpl w:val="8FE00858"/>
    <w:lvl w:ilvl="0">
      <w:start w:val="29"/>
      <w:numFmt w:val="decimal"/>
      <w:lvlText w:val="%1."/>
      <w:lvlJc w:val="left"/>
      <w:pPr>
        <w:ind w:left="730" w:hanging="730"/>
      </w:pPr>
      <w:rPr>
        <w:rFonts w:hint="default"/>
      </w:rPr>
    </w:lvl>
    <w:lvl w:ilvl="1">
      <w:start w:val="2"/>
      <w:numFmt w:val="decimal"/>
      <w:lvlText w:val="%1.%2."/>
      <w:lvlJc w:val="left"/>
      <w:pPr>
        <w:ind w:left="1084" w:hanging="730"/>
      </w:pPr>
      <w:rPr>
        <w:rFonts w:hint="default"/>
      </w:rPr>
    </w:lvl>
    <w:lvl w:ilvl="2">
      <w:start w:val="1"/>
      <w:numFmt w:val="decimal"/>
      <w:lvlText w:val="%1.%2.%3."/>
      <w:lvlJc w:val="left"/>
      <w:pPr>
        <w:ind w:left="1438" w:hanging="73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num w:numId="1" w16cid:durableId="502549918">
    <w:abstractNumId w:val="36"/>
  </w:num>
  <w:num w:numId="2" w16cid:durableId="677002281">
    <w:abstractNumId w:val="12"/>
  </w:num>
  <w:num w:numId="3" w16cid:durableId="995955040">
    <w:abstractNumId w:val="64"/>
  </w:num>
  <w:num w:numId="4" w16cid:durableId="1142887928">
    <w:abstractNumId w:val="57"/>
  </w:num>
  <w:num w:numId="5" w16cid:durableId="415827499">
    <w:abstractNumId w:val="54"/>
  </w:num>
  <w:num w:numId="6" w16cid:durableId="831455625">
    <w:abstractNumId w:val="5"/>
  </w:num>
  <w:num w:numId="7" w16cid:durableId="1667054662">
    <w:abstractNumId w:val="56"/>
  </w:num>
  <w:num w:numId="8" w16cid:durableId="1682705273">
    <w:abstractNumId w:val="30"/>
  </w:num>
  <w:num w:numId="9" w16cid:durableId="671027825">
    <w:abstractNumId w:val="27"/>
  </w:num>
  <w:num w:numId="10" w16cid:durableId="1109543345">
    <w:abstractNumId w:val="22"/>
  </w:num>
  <w:num w:numId="11" w16cid:durableId="1449660680">
    <w:abstractNumId w:val="53"/>
  </w:num>
  <w:num w:numId="12" w16cid:durableId="905141275">
    <w:abstractNumId w:val="16"/>
  </w:num>
  <w:num w:numId="13" w16cid:durableId="2138378009">
    <w:abstractNumId w:val="10"/>
  </w:num>
  <w:num w:numId="14" w16cid:durableId="1133405620">
    <w:abstractNumId w:val="39"/>
  </w:num>
  <w:num w:numId="15" w16cid:durableId="750198288">
    <w:abstractNumId w:val="9"/>
  </w:num>
  <w:num w:numId="16" w16cid:durableId="1928998963">
    <w:abstractNumId w:val="3"/>
  </w:num>
  <w:num w:numId="17" w16cid:durableId="1359308867">
    <w:abstractNumId w:val="41"/>
  </w:num>
  <w:num w:numId="18" w16cid:durableId="892354187">
    <w:abstractNumId w:val="65"/>
  </w:num>
  <w:num w:numId="19" w16cid:durableId="434980442">
    <w:abstractNumId w:val="66"/>
  </w:num>
  <w:num w:numId="20" w16cid:durableId="1386105726">
    <w:abstractNumId w:val="49"/>
  </w:num>
  <w:num w:numId="21" w16cid:durableId="1572038804">
    <w:abstractNumId w:val="52"/>
  </w:num>
  <w:num w:numId="22" w16cid:durableId="199974827">
    <w:abstractNumId w:val="34"/>
  </w:num>
  <w:num w:numId="23" w16cid:durableId="104153173">
    <w:abstractNumId w:val="23"/>
  </w:num>
  <w:num w:numId="24" w16cid:durableId="1573664772">
    <w:abstractNumId w:val="59"/>
  </w:num>
  <w:num w:numId="25" w16cid:durableId="1243218905">
    <w:abstractNumId w:val="33"/>
  </w:num>
  <w:num w:numId="26" w16cid:durableId="182785138">
    <w:abstractNumId w:val="8"/>
  </w:num>
  <w:num w:numId="27" w16cid:durableId="1165049926">
    <w:abstractNumId w:val="35"/>
  </w:num>
  <w:num w:numId="28" w16cid:durableId="1195920354">
    <w:abstractNumId w:val="21"/>
  </w:num>
  <w:num w:numId="29" w16cid:durableId="596409625">
    <w:abstractNumId w:val="14"/>
  </w:num>
  <w:num w:numId="30" w16cid:durableId="1140538382">
    <w:abstractNumId w:val="28"/>
  </w:num>
  <w:num w:numId="31" w16cid:durableId="866453448">
    <w:abstractNumId w:val="37"/>
  </w:num>
  <w:num w:numId="32" w16cid:durableId="1710647037">
    <w:abstractNumId w:val="60"/>
  </w:num>
  <w:num w:numId="33" w16cid:durableId="1360856274">
    <w:abstractNumId w:val="24"/>
  </w:num>
  <w:num w:numId="34" w16cid:durableId="1516992728">
    <w:abstractNumId w:val="46"/>
  </w:num>
  <w:num w:numId="35" w16cid:durableId="965550546">
    <w:abstractNumId w:val="6"/>
  </w:num>
  <w:num w:numId="36" w16cid:durableId="1364088323">
    <w:abstractNumId w:val="26"/>
  </w:num>
  <w:num w:numId="37" w16cid:durableId="1839538942">
    <w:abstractNumId w:val="47"/>
  </w:num>
  <w:num w:numId="38" w16cid:durableId="1038314040">
    <w:abstractNumId w:val="7"/>
  </w:num>
  <w:num w:numId="39" w16cid:durableId="1538542603">
    <w:abstractNumId w:val="43"/>
  </w:num>
  <w:num w:numId="40" w16cid:durableId="1942643208">
    <w:abstractNumId w:val="18"/>
  </w:num>
  <w:num w:numId="41" w16cid:durableId="2037073540">
    <w:abstractNumId w:val="11"/>
  </w:num>
  <w:num w:numId="42" w16cid:durableId="1455518689">
    <w:abstractNumId w:val="67"/>
  </w:num>
  <w:num w:numId="43" w16cid:durableId="43259572">
    <w:abstractNumId w:val="61"/>
  </w:num>
  <w:num w:numId="44" w16cid:durableId="548034728">
    <w:abstractNumId w:val="42"/>
  </w:num>
  <w:num w:numId="45" w16cid:durableId="1863856265">
    <w:abstractNumId w:val="44"/>
  </w:num>
  <w:num w:numId="46" w16cid:durableId="962468215">
    <w:abstractNumId w:val="50"/>
  </w:num>
  <w:num w:numId="47" w16cid:durableId="74016310">
    <w:abstractNumId w:val="1"/>
  </w:num>
  <w:num w:numId="48" w16cid:durableId="1361584801">
    <w:abstractNumId w:val="25"/>
  </w:num>
  <w:num w:numId="49" w16cid:durableId="611935717">
    <w:abstractNumId w:val="48"/>
  </w:num>
  <w:num w:numId="50" w16cid:durableId="1609386194">
    <w:abstractNumId w:val="29"/>
  </w:num>
  <w:num w:numId="51" w16cid:durableId="1071390645">
    <w:abstractNumId w:val="32"/>
  </w:num>
  <w:num w:numId="52" w16cid:durableId="1789858266">
    <w:abstractNumId w:val="51"/>
  </w:num>
  <w:num w:numId="53" w16cid:durableId="1291545797">
    <w:abstractNumId w:val="58"/>
  </w:num>
  <w:num w:numId="54" w16cid:durableId="1599410863">
    <w:abstractNumId w:val="2"/>
  </w:num>
  <w:num w:numId="55" w16cid:durableId="153837112">
    <w:abstractNumId w:val="0"/>
  </w:num>
  <w:num w:numId="56" w16cid:durableId="1086652473">
    <w:abstractNumId w:val="4"/>
  </w:num>
  <w:num w:numId="57" w16cid:durableId="727996579">
    <w:abstractNumId w:val="15"/>
  </w:num>
  <w:num w:numId="58" w16cid:durableId="1155951584">
    <w:abstractNumId w:val="40"/>
  </w:num>
  <w:num w:numId="59" w16cid:durableId="2142796640">
    <w:abstractNumId w:val="62"/>
  </w:num>
  <w:num w:numId="60" w16cid:durableId="1364400070">
    <w:abstractNumId w:val="38"/>
  </w:num>
  <w:num w:numId="61" w16cid:durableId="688917435">
    <w:abstractNumId w:val="13"/>
  </w:num>
  <w:num w:numId="62" w16cid:durableId="854154762">
    <w:abstractNumId w:val="69"/>
  </w:num>
  <w:num w:numId="63" w16cid:durableId="5866181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00585160">
    <w:abstractNumId w:val="45"/>
  </w:num>
  <w:num w:numId="65" w16cid:durableId="1544713711">
    <w:abstractNumId w:val="55"/>
  </w:num>
  <w:num w:numId="66" w16cid:durableId="260530183">
    <w:abstractNumId w:val="19"/>
  </w:num>
  <w:num w:numId="67" w16cid:durableId="414282267">
    <w:abstractNumId w:val="68"/>
  </w:num>
  <w:num w:numId="68" w16cid:durableId="1807041504">
    <w:abstractNumId w:val="31"/>
  </w:num>
  <w:num w:numId="69" w16cid:durableId="1744181692">
    <w:abstractNumId w:val="17"/>
  </w:num>
  <w:num w:numId="70" w16cid:durableId="216935442">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3CCC"/>
    <w:rsid w:val="00005085"/>
    <w:rsid w:val="000054E0"/>
    <w:rsid w:val="000065D2"/>
    <w:rsid w:val="00007BEE"/>
    <w:rsid w:val="00010C46"/>
    <w:rsid w:val="00010CD8"/>
    <w:rsid w:val="0001219E"/>
    <w:rsid w:val="00012234"/>
    <w:rsid w:val="0001263D"/>
    <w:rsid w:val="00012C3E"/>
    <w:rsid w:val="000139F6"/>
    <w:rsid w:val="00014E30"/>
    <w:rsid w:val="000203DC"/>
    <w:rsid w:val="00027283"/>
    <w:rsid w:val="00027579"/>
    <w:rsid w:val="00027852"/>
    <w:rsid w:val="00027C56"/>
    <w:rsid w:val="0003389E"/>
    <w:rsid w:val="000344E5"/>
    <w:rsid w:val="00034AE1"/>
    <w:rsid w:val="00035A0E"/>
    <w:rsid w:val="00035B40"/>
    <w:rsid w:val="00036494"/>
    <w:rsid w:val="00036870"/>
    <w:rsid w:val="0003693E"/>
    <w:rsid w:val="0003694E"/>
    <w:rsid w:val="0003731F"/>
    <w:rsid w:val="000373AF"/>
    <w:rsid w:val="00042B35"/>
    <w:rsid w:val="00042C6B"/>
    <w:rsid w:val="00043B11"/>
    <w:rsid w:val="0004568C"/>
    <w:rsid w:val="00046413"/>
    <w:rsid w:val="00046865"/>
    <w:rsid w:val="00046D3B"/>
    <w:rsid w:val="00046D59"/>
    <w:rsid w:val="000472EB"/>
    <w:rsid w:val="00047303"/>
    <w:rsid w:val="000502E9"/>
    <w:rsid w:val="00050396"/>
    <w:rsid w:val="00050DF9"/>
    <w:rsid w:val="00051156"/>
    <w:rsid w:val="00051527"/>
    <w:rsid w:val="000527BB"/>
    <w:rsid w:val="00052950"/>
    <w:rsid w:val="0005319B"/>
    <w:rsid w:val="00053924"/>
    <w:rsid w:val="00054916"/>
    <w:rsid w:val="00055C72"/>
    <w:rsid w:val="000573AA"/>
    <w:rsid w:val="000575F7"/>
    <w:rsid w:val="0005762C"/>
    <w:rsid w:val="000606E5"/>
    <w:rsid w:val="00060C64"/>
    <w:rsid w:val="000617C8"/>
    <w:rsid w:val="0006203E"/>
    <w:rsid w:val="00062E5C"/>
    <w:rsid w:val="000638BD"/>
    <w:rsid w:val="00064B46"/>
    <w:rsid w:val="00065359"/>
    <w:rsid w:val="00065C74"/>
    <w:rsid w:val="000673C3"/>
    <w:rsid w:val="000674E7"/>
    <w:rsid w:val="00067571"/>
    <w:rsid w:val="0007051F"/>
    <w:rsid w:val="00070661"/>
    <w:rsid w:val="0007071C"/>
    <w:rsid w:val="00070CA6"/>
    <w:rsid w:val="0007153F"/>
    <w:rsid w:val="000720EF"/>
    <w:rsid w:val="00072CBB"/>
    <w:rsid w:val="00074024"/>
    <w:rsid w:val="000743F4"/>
    <w:rsid w:val="000757B2"/>
    <w:rsid w:val="000761F0"/>
    <w:rsid w:val="00076251"/>
    <w:rsid w:val="00076396"/>
    <w:rsid w:val="000773B1"/>
    <w:rsid w:val="000807E9"/>
    <w:rsid w:val="00080A46"/>
    <w:rsid w:val="00081CC2"/>
    <w:rsid w:val="00082263"/>
    <w:rsid w:val="000835B0"/>
    <w:rsid w:val="00084AA2"/>
    <w:rsid w:val="000855B4"/>
    <w:rsid w:val="00085703"/>
    <w:rsid w:val="00087381"/>
    <w:rsid w:val="0008783D"/>
    <w:rsid w:val="00087A68"/>
    <w:rsid w:val="00087E44"/>
    <w:rsid w:val="00090A96"/>
    <w:rsid w:val="00091E6B"/>
    <w:rsid w:val="0009316F"/>
    <w:rsid w:val="000953A2"/>
    <w:rsid w:val="00097642"/>
    <w:rsid w:val="000A0597"/>
    <w:rsid w:val="000A0836"/>
    <w:rsid w:val="000A0BDC"/>
    <w:rsid w:val="000A1309"/>
    <w:rsid w:val="000A19D1"/>
    <w:rsid w:val="000A3B6E"/>
    <w:rsid w:val="000A41D4"/>
    <w:rsid w:val="000A4A99"/>
    <w:rsid w:val="000A72EB"/>
    <w:rsid w:val="000B09D6"/>
    <w:rsid w:val="000B1C62"/>
    <w:rsid w:val="000B216C"/>
    <w:rsid w:val="000B3A15"/>
    <w:rsid w:val="000B4F51"/>
    <w:rsid w:val="000B5507"/>
    <w:rsid w:val="000B61E4"/>
    <w:rsid w:val="000B70C8"/>
    <w:rsid w:val="000C0621"/>
    <w:rsid w:val="000C0A21"/>
    <w:rsid w:val="000C1187"/>
    <w:rsid w:val="000C2189"/>
    <w:rsid w:val="000C3A07"/>
    <w:rsid w:val="000C4596"/>
    <w:rsid w:val="000C479C"/>
    <w:rsid w:val="000C544F"/>
    <w:rsid w:val="000C5D0F"/>
    <w:rsid w:val="000C68A0"/>
    <w:rsid w:val="000C71B0"/>
    <w:rsid w:val="000C7ECC"/>
    <w:rsid w:val="000D075A"/>
    <w:rsid w:val="000D0CAA"/>
    <w:rsid w:val="000D2032"/>
    <w:rsid w:val="000D2DF2"/>
    <w:rsid w:val="000D3D53"/>
    <w:rsid w:val="000D4038"/>
    <w:rsid w:val="000D4EA2"/>
    <w:rsid w:val="000D5143"/>
    <w:rsid w:val="000D5B1F"/>
    <w:rsid w:val="000D6045"/>
    <w:rsid w:val="000D628C"/>
    <w:rsid w:val="000D7DA1"/>
    <w:rsid w:val="000E231C"/>
    <w:rsid w:val="000E2E93"/>
    <w:rsid w:val="000E5682"/>
    <w:rsid w:val="000E6BFA"/>
    <w:rsid w:val="000E6F94"/>
    <w:rsid w:val="000F0203"/>
    <w:rsid w:val="000F2EAC"/>
    <w:rsid w:val="000F33CB"/>
    <w:rsid w:val="000F3EC6"/>
    <w:rsid w:val="000F4301"/>
    <w:rsid w:val="000F4777"/>
    <w:rsid w:val="000F5A68"/>
    <w:rsid w:val="000F62D1"/>
    <w:rsid w:val="000F65CC"/>
    <w:rsid w:val="000F683D"/>
    <w:rsid w:val="000F69F6"/>
    <w:rsid w:val="000F6FF3"/>
    <w:rsid w:val="00100067"/>
    <w:rsid w:val="00100117"/>
    <w:rsid w:val="00100EE6"/>
    <w:rsid w:val="0010101F"/>
    <w:rsid w:val="00101857"/>
    <w:rsid w:val="00103862"/>
    <w:rsid w:val="00103EBB"/>
    <w:rsid w:val="00104772"/>
    <w:rsid w:val="00105879"/>
    <w:rsid w:val="00106357"/>
    <w:rsid w:val="00106BC2"/>
    <w:rsid w:val="00107AC0"/>
    <w:rsid w:val="001105E0"/>
    <w:rsid w:val="00110ECD"/>
    <w:rsid w:val="00112A08"/>
    <w:rsid w:val="00113284"/>
    <w:rsid w:val="00113446"/>
    <w:rsid w:val="001140ED"/>
    <w:rsid w:val="00115002"/>
    <w:rsid w:val="00120645"/>
    <w:rsid w:val="001223AF"/>
    <w:rsid w:val="001227E3"/>
    <w:rsid w:val="0012328B"/>
    <w:rsid w:val="001233A0"/>
    <w:rsid w:val="00123EE8"/>
    <w:rsid w:val="00123FBD"/>
    <w:rsid w:val="001255A9"/>
    <w:rsid w:val="0012634C"/>
    <w:rsid w:val="0012678D"/>
    <w:rsid w:val="0012686C"/>
    <w:rsid w:val="00127930"/>
    <w:rsid w:val="00130637"/>
    <w:rsid w:val="001306A0"/>
    <w:rsid w:val="0013107A"/>
    <w:rsid w:val="00131B97"/>
    <w:rsid w:val="001329AE"/>
    <w:rsid w:val="001330A4"/>
    <w:rsid w:val="00134A1A"/>
    <w:rsid w:val="00135EFA"/>
    <w:rsid w:val="00136393"/>
    <w:rsid w:val="0013675D"/>
    <w:rsid w:val="001378CD"/>
    <w:rsid w:val="00137DE6"/>
    <w:rsid w:val="00140BED"/>
    <w:rsid w:val="001419F8"/>
    <w:rsid w:val="00141F53"/>
    <w:rsid w:val="00142368"/>
    <w:rsid w:val="00142D7F"/>
    <w:rsid w:val="00144016"/>
    <w:rsid w:val="001455F1"/>
    <w:rsid w:val="00145842"/>
    <w:rsid w:val="00146A7E"/>
    <w:rsid w:val="00146E75"/>
    <w:rsid w:val="001472C7"/>
    <w:rsid w:val="00150908"/>
    <w:rsid w:val="00150A0A"/>
    <w:rsid w:val="00150E11"/>
    <w:rsid w:val="00150FF6"/>
    <w:rsid w:val="001512AF"/>
    <w:rsid w:val="00152CDB"/>
    <w:rsid w:val="001533EC"/>
    <w:rsid w:val="0015494A"/>
    <w:rsid w:val="0015495F"/>
    <w:rsid w:val="001555E3"/>
    <w:rsid w:val="00155C9D"/>
    <w:rsid w:val="00155F31"/>
    <w:rsid w:val="001562A6"/>
    <w:rsid w:val="00161EC7"/>
    <w:rsid w:val="00161F9E"/>
    <w:rsid w:val="00164990"/>
    <w:rsid w:val="00164A7F"/>
    <w:rsid w:val="0016532D"/>
    <w:rsid w:val="001674DF"/>
    <w:rsid w:val="0016767B"/>
    <w:rsid w:val="00170650"/>
    <w:rsid w:val="0017091D"/>
    <w:rsid w:val="00171117"/>
    <w:rsid w:val="00172524"/>
    <w:rsid w:val="00172C58"/>
    <w:rsid w:val="00174F1C"/>
    <w:rsid w:val="00175C54"/>
    <w:rsid w:val="00176F7C"/>
    <w:rsid w:val="00177098"/>
    <w:rsid w:val="00177A48"/>
    <w:rsid w:val="00177B57"/>
    <w:rsid w:val="001809A5"/>
    <w:rsid w:val="00180F68"/>
    <w:rsid w:val="00181D4A"/>
    <w:rsid w:val="0018363A"/>
    <w:rsid w:val="0018370F"/>
    <w:rsid w:val="00184584"/>
    <w:rsid w:val="00184CB2"/>
    <w:rsid w:val="00184DD2"/>
    <w:rsid w:val="001853C2"/>
    <w:rsid w:val="0018597C"/>
    <w:rsid w:val="00186268"/>
    <w:rsid w:val="00187450"/>
    <w:rsid w:val="001874A4"/>
    <w:rsid w:val="00187C88"/>
    <w:rsid w:val="001900F0"/>
    <w:rsid w:val="00190B48"/>
    <w:rsid w:val="00191BB8"/>
    <w:rsid w:val="00191D8D"/>
    <w:rsid w:val="0019268D"/>
    <w:rsid w:val="0019329E"/>
    <w:rsid w:val="0019336E"/>
    <w:rsid w:val="00193C32"/>
    <w:rsid w:val="00193F77"/>
    <w:rsid w:val="00194ED0"/>
    <w:rsid w:val="0019557C"/>
    <w:rsid w:val="00195710"/>
    <w:rsid w:val="00195A74"/>
    <w:rsid w:val="00196344"/>
    <w:rsid w:val="001968B9"/>
    <w:rsid w:val="00197070"/>
    <w:rsid w:val="00197340"/>
    <w:rsid w:val="00197AEB"/>
    <w:rsid w:val="001A0AF3"/>
    <w:rsid w:val="001A1350"/>
    <w:rsid w:val="001A2B53"/>
    <w:rsid w:val="001A4295"/>
    <w:rsid w:val="001A5B6A"/>
    <w:rsid w:val="001B27D9"/>
    <w:rsid w:val="001B3C5B"/>
    <w:rsid w:val="001B518B"/>
    <w:rsid w:val="001B69A8"/>
    <w:rsid w:val="001B7114"/>
    <w:rsid w:val="001B7A73"/>
    <w:rsid w:val="001C1402"/>
    <w:rsid w:val="001C1AA3"/>
    <w:rsid w:val="001C224E"/>
    <w:rsid w:val="001C35BD"/>
    <w:rsid w:val="001C37B9"/>
    <w:rsid w:val="001C45DD"/>
    <w:rsid w:val="001C57CB"/>
    <w:rsid w:val="001C6694"/>
    <w:rsid w:val="001C7005"/>
    <w:rsid w:val="001C7B6B"/>
    <w:rsid w:val="001D0AE2"/>
    <w:rsid w:val="001D1B67"/>
    <w:rsid w:val="001D2EF2"/>
    <w:rsid w:val="001D31E2"/>
    <w:rsid w:val="001D47EC"/>
    <w:rsid w:val="001D5291"/>
    <w:rsid w:val="001D6290"/>
    <w:rsid w:val="001D62D7"/>
    <w:rsid w:val="001D6CBB"/>
    <w:rsid w:val="001E0481"/>
    <w:rsid w:val="001E0AEF"/>
    <w:rsid w:val="001E26E2"/>
    <w:rsid w:val="001E3182"/>
    <w:rsid w:val="001E33A0"/>
    <w:rsid w:val="001E521B"/>
    <w:rsid w:val="001E602A"/>
    <w:rsid w:val="001E6F9A"/>
    <w:rsid w:val="001F0D84"/>
    <w:rsid w:val="001F1847"/>
    <w:rsid w:val="001F2457"/>
    <w:rsid w:val="001F3694"/>
    <w:rsid w:val="001F3BB1"/>
    <w:rsid w:val="001F4A4E"/>
    <w:rsid w:val="001F646C"/>
    <w:rsid w:val="001F703C"/>
    <w:rsid w:val="001F7D55"/>
    <w:rsid w:val="00201CF2"/>
    <w:rsid w:val="00201EF9"/>
    <w:rsid w:val="00203374"/>
    <w:rsid w:val="0020353A"/>
    <w:rsid w:val="00204A18"/>
    <w:rsid w:val="00205689"/>
    <w:rsid w:val="0020646A"/>
    <w:rsid w:val="002108A2"/>
    <w:rsid w:val="00211088"/>
    <w:rsid w:val="00212871"/>
    <w:rsid w:val="0021338D"/>
    <w:rsid w:val="00214490"/>
    <w:rsid w:val="002150CF"/>
    <w:rsid w:val="00216CBA"/>
    <w:rsid w:val="00217A06"/>
    <w:rsid w:val="00220B8F"/>
    <w:rsid w:val="002228C1"/>
    <w:rsid w:val="00222B52"/>
    <w:rsid w:val="00222FF3"/>
    <w:rsid w:val="00222FFB"/>
    <w:rsid w:val="00224585"/>
    <w:rsid w:val="00225FB8"/>
    <w:rsid w:val="00226439"/>
    <w:rsid w:val="002271BF"/>
    <w:rsid w:val="002273FF"/>
    <w:rsid w:val="002276FA"/>
    <w:rsid w:val="002276FC"/>
    <w:rsid w:val="0022778E"/>
    <w:rsid w:val="00234163"/>
    <w:rsid w:val="00235F59"/>
    <w:rsid w:val="00236394"/>
    <w:rsid w:val="002376F3"/>
    <w:rsid w:val="0023786D"/>
    <w:rsid w:val="002401A3"/>
    <w:rsid w:val="00240355"/>
    <w:rsid w:val="002406CE"/>
    <w:rsid w:val="00241350"/>
    <w:rsid w:val="0024139C"/>
    <w:rsid w:val="00241416"/>
    <w:rsid w:val="0024158A"/>
    <w:rsid w:val="00241931"/>
    <w:rsid w:val="00242007"/>
    <w:rsid w:val="0024236D"/>
    <w:rsid w:val="002430D9"/>
    <w:rsid w:val="00243904"/>
    <w:rsid w:val="0024483C"/>
    <w:rsid w:val="00245173"/>
    <w:rsid w:val="00250A0A"/>
    <w:rsid w:val="00252173"/>
    <w:rsid w:val="002523CB"/>
    <w:rsid w:val="00252DB0"/>
    <w:rsid w:val="00253702"/>
    <w:rsid w:val="00253A71"/>
    <w:rsid w:val="00254119"/>
    <w:rsid w:val="00254B2B"/>
    <w:rsid w:val="0025569D"/>
    <w:rsid w:val="0025585F"/>
    <w:rsid w:val="00261915"/>
    <w:rsid w:val="00263032"/>
    <w:rsid w:val="00263C1A"/>
    <w:rsid w:val="00264026"/>
    <w:rsid w:val="0026488E"/>
    <w:rsid w:val="0027015F"/>
    <w:rsid w:val="0027076D"/>
    <w:rsid w:val="0027270C"/>
    <w:rsid w:val="00273372"/>
    <w:rsid w:val="00273738"/>
    <w:rsid w:val="00273B7B"/>
    <w:rsid w:val="0027433A"/>
    <w:rsid w:val="00275839"/>
    <w:rsid w:val="002767C0"/>
    <w:rsid w:val="0027716E"/>
    <w:rsid w:val="00277AFB"/>
    <w:rsid w:val="00277BE9"/>
    <w:rsid w:val="00277D2E"/>
    <w:rsid w:val="00277DE8"/>
    <w:rsid w:val="002803E4"/>
    <w:rsid w:val="00283702"/>
    <w:rsid w:val="00283E18"/>
    <w:rsid w:val="002865FB"/>
    <w:rsid w:val="00286D39"/>
    <w:rsid w:val="002871D6"/>
    <w:rsid w:val="00290A0D"/>
    <w:rsid w:val="00290F89"/>
    <w:rsid w:val="00290FB0"/>
    <w:rsid w:val="002911B5"/>
    <w:rsid w:val="00293412"/>
    <w:rsid w:val="002939D1"/>
    <w:rsid w:val="00293B59"/>
    <w:rsid w:val="00295265"/>
    <w:rsid w:val="00295722"/>
    <w:rsid w:val="002974D1"/>
    <w:rsid w:val="002A0E67"/>
    <w:rsid w:val="002A1333"/>
    <w:rsid w:val="002A16BC"/>
    <w:rsid w:val="002A1B14"/>
    <w:rsid w:val="002A221C"/>
    <w:rsid w:val="002A2221"/>
    <w:rsid w:val="002A2C75"/>
    <w:rsid w:val="002A2CAF"/>
    <w:rsid w:val="002A3E7B"/>
    <w:rsid w:val="002A3FC5"/>
    <w:rsid w:val="002A4788"/>
    <w:rsid w:val="002A5345"/>
    <w:rsid w:val="002A60B1"/>
    <w:rsid w:val="002A6444"/>
    <w:rsid w:val="002A6503"/>
    <w:rsid w:val="002B1294"/>
    <w:rsid w:val="002B1F40"/>
    <w:rsid w:val="002B2134"/>
    <w:rsid w:val="002B26E7"/>
    <w:rsid w:val="002B2A4D"/>
    <w:rsid w:val="002B2B25"/>
    <w:rsid w:val="002B3065"/>
    <w:rsid w:val="002B4978"/>
    <w:rsid w:val="002B6EA7"/>
    <w:rsid w:val="002B6F06"/>
    <w:rsid w:val="002B717A"/>
    <w:rsid w:val="002C044B"/>
    <w:rsid w:val="002C0781"/>
    <w:rsid w:val="002C1B45"/>
    <w:rsid w:val="002C2294"/>
    <w:rsid w:val="002C36AF"/>
    <w:rsid w:val="002C5D37"/>
    <w:rsid w:val="002C60DB"/>
    <w:rsid w:val="002C6F32"/>
    <w:rsid w:val="002C7485"/>
    <w:rsid w:val="002C75E8"/>
    <w:rsid w:val="002C7E9B"/>
    <w:rsid w:val="002C7FFA"/>
    <w:rsid w:val="002D11DA"/>
    <w:rsid w:val="002D1713"/>
    <w:rsid w:val="002D1A3E"/>
    <w:rsid w:val="002D2705"/>
    <w:rsid w:val="002D33E6"/>
    <w:rsid w:val="002D36EE"/>
    <w:rsid w:val="002D3704"/>
    <w:rsid w:val="002D6001"/>
    <w:rsid w:val="002D6AB8"/>
    <w:rsid w:val="002D7466"/>
    <w:rsid w:val="002D7B18"/>
    <w:rsid w:val="002E00B1"/>
    <w:rsid w:val="002E03F5"/>
    <w:rsid w:val="002E04AC"/>
    <w:rsid w:val="002E0C3F"/>
    <w:rsid w:val="002E2982"/>
    <w:rsid w:val="002E29C0"/>
    <w:rsid w:val="002E374E"/>
    <w:rsid w:val="002E41CC"/>
    <w:rsid w:val="002E4BD0"/>
    <w:rsid w:val="002E70A3"/>
    <w:rsid w:val="002E7F3A"/>
    <w:rsid w:val="002F0C05"/>
    <w:rsid w:val="002F13C0"/>
    <w:rsid w:val="002F2816"/>
    <w:rsid w:val="002F31E2"/>
    <w:rsid w:val="002F36CD"/>
    <w:rsid w:val="002F392F"/>
    <w:rsid w:val="002F3AE5"/>
    <w:rsid w:val="002F3CB0"/>
    <w:rsid w:val="002F4619"/>
    <w:rsid w:val="002F6543"/>
    <w:rsid w:val="002F6892"/>
    <w:rsid w:val="002F712F"/>
    <w:rsid w:val="00300769"/>
    <w:rsid w:val="00300A2E"/>
    <w:rsid w:val="00300CDF"/>
    <w:rsid w:val="00300EC9"/>
    <w:rsid w:val="00300F9A"/>
    <w:rsid w:val="00302C04"/>
    <w:rsid w:val="00302D7F"/>
    <w:rsid w:val="00303175"/>
    <w:rsid w:val="003034F7"/>
    <w:rsid w:val="00304450"/>
    <w:rsid w:val="003063EA"/>
    <w:rsid w:val="00307120"/>
    <w:rsid w:val="00310412"/>
    <w:rsid w:val="003130FD"/>
    <w:rsid w:val="0031395E"/>
    <w:rsid w:val="00314650"/>
    <w:rsid w:val="0031560E"/>
    <w:rsid w:val="003166EB"/>
    <w:rsid w:val="00317004"/>
    <w:rsid w:val="00317774"/>
    <w:rsid w:val="00320044"/>
    <w:rsid w:val="0032048F"/>
    <w:rsid w:val="0032182C"/>
    <w:rsid w:val="00322588"/>
    <w:rsid w:val="00322621"/>
    <w:rsid w:val="00323466"/>
    <w:rsid w:val="003236FB"/>
    <w:rsid w:val="0032462C"/>
    <w:rsid w:val="00324E04"/>
    <w:rsid w:val="00324FE2"/>
    <w:rsid w:val="00325F29"/>
    <w:rsid w:val="003261AC"/>
    <w:rsid w:val="00326283"/>
    <w:rsid w:val="00326B5C"/>
    <w:rsid w:val="0032777A"/>
    <w:rsid w:val="00327CA9"/>
    <w:rsid w:val="00327FC2"/>
    <w:rsid w:val="003302D4"/>
    <w:rsid w:val="0033037F"/>
    <w:rsid w:val="00330E76"/>
    <w:rsid w:val="003320A5"/>
    <w:rsid w:val="00332C7F"/>
    <w:rsid w:val="00333611"/>
    <w:rsid w:val="00333819"/>
    <w:rsid w:val="00333D8A"/>
    <w:rsid w:val="00333DF4"/>
    <w:rsid w:val="00334140"/>
    <w:rsid w:val="00334B4E"/>
    <w:rsid w:val="00335809"/>
    <w:rsid w:val="00335A1A"/>
    <w:rsid w:val="003362B1"/>
    <w:rsid w:val="00336A4A"/>
    <w:rsid w:val="0033707F"/>
    <w:rsid w:val="00341A15"/>
    <w:rsid w:val="00343607"/>
    <w:rsid w:val="00343658"/>
    <w:rsid w:val="00344511"/>
    <w:rsid w:val="00344CEE"/>
    <w:rsid w:val="00346651"/>
    <w:rsid w:val="00346B40"/>
    <w:rsid w:val="00346EDB"/>
    <w:rsid w:val="00346F75"/>
    <w:rsid w:val="003474E6"/>
    <w:rsid w:val="003516F8"/>
    <w:rsid w:val="003517E0"/>
    <w:rsid w:val="0035222B"/>
    <w:rsid w:val="00352F8D"/>
    <w:rsid w:val="00354E10"/>
    <w:rsid w:val="00355B03"/>
    <w:rsid w:val="00356343"/>
    <w:rsid w:val="00357B12"/>
    <w:rsid w:val="00361054"/>
    <w:rsid w:val="00362D6E"/>
    <w:rsid w:val="003637F3"/>
    <w:rsid w:val="00363C51"/>
    <w:rsid w:val="003651AA"/>
    <w:rsid w:val="00366055"/>
    <w:rsid w:val="00367414"/>
    <w:rsid w:val="0037050C"/>
    <w:rsid w:val="003705A7"/>
    <w:rsid w:val="003705DC"/>
    <w:rsid w:val="0037571D"/>
    <w:rsid w:val="00375CC6"/>
    <w:rsid w:val="0037607B"/>
    <w:rsid w:val="0037761B"/>
    <w:rsid w:val="00377806"/>
    <w:rsid w:val="00377DD8"/>
    <w:rsid w:val="003800CB"/>
    <w:rsid w:val="00380A6A"/>
    <w:rsid w:val="0038241C"/>
    <w:rsid w:val="00382B9F"/>
    <w:rsid w:val="003839F3"/>
    <w:rsid w:val="00384244"/>
    <w:rsid w:val="0038469F"/>
    <w:rsid w:val="00385E4F"/>
    <w:rsid w:val="00387F49"/>
    <w:rsid w:val="00390500"/>
    <w:rsid w:val="00390847"/>
    <w:rsid w:val="00391480"/>
    <w:rsid w:val="00393E50"/>
    <w:rsid w:val="003941A3"/>
    <w:rsid w:val="003A093A"/>
    <w:rsid w:val="003A0BF7"/>
    <w:rsid w:val="003A1077"/>
    <w:rsid w:val="003A23AF"/>
    <w:rsid w:val="003A24CE"/>
    <w:rsid w:val="003A24FC"/>
    <w:rsid w:val="003A251E"/>
    <w:rsid w:val="003A2854"/>
    <w:rsid w:val="003A2A76"/>
    <w:rsid w:val="003A2AB8"/>
    <w:rsid w:val="003A3940"/>
    <w:rsid w:val="003A394E"/>
    <w:rsid w:val="003A3964"/>
    <w:rsid w:val="003A4B96"/>
    <w:rsid w:val="003A569A"/>
    <w:rsid w:val="003A5D81"/>
    <w:rsid w:val="003A7227"/>
    <w:rsid w:val="003B0EFB"/>
    <w:rsid w:val="003B2485"/>
    <w:rsid w:val="003B2586"/>
    <w:rsid w:val="003B5115"/>
    <w:rsid w:val="003B5689"/>
    <w:rsid w:val="003B687D"/>
    <w:rsid w:val="003B74E3"/>
    <w:rsid w:val="003C2CB0"/>
    <w:rsid w:val="003C32D6"/>
    <w:rsid w:val="003C47BA"/>
    <w:rsid w:val="003C4989"/>
    <w:rsid w:val="003C4A04"/>
    <w:rsid w:val="003C5529"/>
    <w:rsid w:val="003C6EBD"/>
    <w:rsid w:val="003C71D6"/>
    <w:rsid w:val="003C7C0B"/>
    <w:rsid w:val="003D1203"/>
    <w:rsid w:val="003D19B8"/>
    <w:rsid w:val="003D2AE1"/>
    <w:rsid w:val="003D3826"/>
    <w:rsid w:val="003D42A9"/>
    <w:rsid w:val="003D6BA3"/>
    <w:rsid w:val="003D7BD8"/>
    <w:rsid w:val="003D7F4D"/>
    <w:rsid w:val="003E030D"/>
    <w:rsid w:val="003E07F7"/>
    <w:rsid w:val="003E1869"/>
    <w:rsid w:val="003E221E"/>
    <w:rsid w:val="003E28C9"/>
    <w:rsid w:val="003E36C6"/>
    <w:rsid w:val="003E4589"/>
    <w:rsid w:val="003E4D45"/>
    <w:rsid w:val="003E4E35"/>
    <w:rsid w:val="003E4F1D"/>
    <w:rsid w:val="003E4F88"/>
    <w:rsid w:val="003E6738"/>
    <w:rsid w:val="003E6B9B"/>
    <w:rsid w:val="003E6BD1"/>
    <w:rsid w:val="003E6E35"/>
    <w:rsid w:val="003E72B3"/>
    <w:rsid w:val="003F2C4F"/>
    <w:rsid w:val="003F2DA2"/>
    <w:rsid w:val="003F35E5"/>
    <w:rsid w:val="003F4099"/>
    <w:rsid w:val="003F40B4"/>
    <w:rsid w:val="003F5292"/>
    <w:rsid w:val="003F5853"/>
    <w:rsid w:val="004009D7"/>
    <w:rsid w:val="00400C6B"/>
    <w:rsid w:val="00401461"/>
    <w:rsid w:val="00402AF2"/>
    <w:rsid w:val="004033AD"/>
    <w:rsid w:val="00404503"/>
    <w:rsid w:val="00405939"/>
    <w:rsid w:val="00405DD8"/>
    <w:rsid w:val="00405F36"/>
    <w:rsid w:val="004066B4"/>
    <w:rsid w:val="00406DE7"/>
    <w:rsid w:val="0041037B"/>
    <w:rsid w:val="00410A38"/>
    <w:rsid w:val="00411414"/>
    <w:rsid w:val="004127F4"/>
    <w:rsid w:val="00413DFF"/>
    <w:rsid w:val="004145D8"/>
    <w:rsid w:val="00415600"/>
    <w:rsid w:val="00415DFF"/>
    <w:rsid w:val="0042003E"/>
    <w:rsid w:val="00420357"/>
    <w:rsid w:val="00420CF0"/>
    <w:rsid w:val="00422B06"/>
    <w:rsid w:val="00424020"/>
    <w:rsid w:val="004261EA"/>
    <w:rsid w:val="00427312"/>
    <w:rsid w:val="0042779F"/>
    <w:rsid w:val="00432103"/>
    <w:rsid w:val="004321E2"/>
    <w:rsid w:val="00433030"/>
    <w:rsid w:val="00434AF3"/>
    <w:rsid w:val="00441FE3"/>
    <w:rsid w:val="00442913"/>
    <w:rsid w:val="00443AB9"/>
    <w:rsid w:val="004447E4"/>
    <w:rsid w:val="00446971"/>
    <w:rsid w:val="004479CD"/>
    <w:rsid w:val="004479F1"/>
    <w:rsid w:val="004501A9"/>
    <w:rsid w:val="00450828"/>
    <w:rsid w:val="00451DDB"/>
    <w:rsid w:val="00452469"/>
    <w:rsid w:val="004534CF"/>
    <w:rsid w:val="00456558"/>
    <w:rsid w:val="0045675B"/>
    <w:rsid w:val="00456ABA"/>
    <w:rsid w:val="004579CA"/>
    <w:rsid w:val="00457A00"/>
    <w:rsid w:val="00461B67"/>
    <w:rsid w:val="004623F5"/>
    <w:rsid w:val="00463684"/>
    <w:rsid w:val="004637F6"/>
    <w:rsid w:val="00463E16"/>
    <w:rsid w:val="004663F4"/>
    <w:rsid w:val="0046640C"/>
    <w:rsid w:val="004702B2"/>
    <w:rsid w:val="00471FFE"/>
    <w:rsid w:val="0047244B"/>
    <w:rsid w:val="004726F2"/>
    <w:rsid w:val="00472CD7"/>
    <w:rsid w:val="004730BF"/>
    <w:rsid w:val="004750A2"/>
    <w:rsid w:val="00475B4F"/>
    <w:rsid w:val="004773A1"/>
    <w:rsid w:val="00477FBF"/>
    <w:rsid w:val="004813C8"/>
    <w:rsid w:val="004833BA"/>
    <w:rsid w:val="004837E4"/>
    <w:rsid w:val="00483CFC"/>
    <w:rsid w:val="0048528A"/>
    <w:rsid w:val="00485401"/>
    <w:rsid w:val="004859C5"/>
    <w:rsid w:val="00486004"/>
    <w:rsid w:val="0048613F"/>
    <w:rsid w:val="0049138D"/>
    <w:rsid w:val="00491AA8"/>
    <w:rsid w:val="004932AF"/>
    <w:rsid w:val="00494DA7"/>
    <w:rsid w:val="004959C0"/>
    <w:rsid w:val="004960EC"/>
    <w:rsid w:val="00496343"/>
    <w:rsid w:val="00496C39"/>
    <w:rsid w:val="004973C3"/>
    <w:rsid w:val="00497E08"/>
    <w:rsid w:val="004A0097"/>
    <w:rsid w:val="004A03AC"/>
    <w:rsid w:val="004A03F6"/>
    <w:rsid w:val="004A1D89"/>
    <w:rsid w:val="004A256D"/>
    <w:rsid w:val="004A37E2"/>
    <w:rsid w:val="004A4172"/>
    <w:rsid w:val="004A470B"/>
    <w:rsid w:val="004A52C1"/>
    <w:rsid w:val="004A5337"/>
    <w:rsid w:val="004A6591"/>
    <w:rsid w:val="004A65CF"/>
    <w:rsid w:val="004A6DA7"/>
    <w:rsid w:val="004A79FB"/>
    <w:rsid w:val="004A7FC7"/>
    <w:rsid w:val="004B0100"/>
    <w:rsid w:val="004B0C00"/>
    <w:rsid w:val="004B21EE"/>
    <w:rsid w:val="004B29EB"/>
    <w:rsid w:val="004B4515"/>
    <w:rsid w:val="004B50B8"/>
    <w:rsid w:val="004B5814"/>
    <w:rsid w:val="004B6005"/>
    <w:rsid w:val="004B605F"/>
    <w:rsid w:val="004B72FB"/>
    <w:rsid w:val="004C004E"/>
    <w:rsid w:val="004C2126"/>
    <w:rsid w:val="004C2B1C"/>
    <w:rsid w:val="004C2C37"/>
    <w:rsid w:val="004C3845"/>
    <w:rsid w:val="004C6772"/>
    <w:rsid w:val="004C6EAD"/>
    <w:rsid w:val="004C70C1"/>
    <w:rsid w:val="004C7231"/>
    <w:rsid w:val="004C75F2"/>
    <w:rsid w:val="004D1C43"/>
    <w:rsid w:val="004D22F6"/>
    <w:rsid w:val="004D4B3D"/>
    <w:rsid w:val="004D5F38"/>
    <w:rsid w:val="004D6567"/>
    <w:rsid w:val="004D6593"/>
    <w:rsid w:val="004E1EC6"/>
    <w:rsid w:val="004E1EC9"/>
    <w:rsid w:val="004E270A"/>
    <w:rsid w:val="004E4319"/>
    <w:rsid w:val="004E6AEF"/>
    <w:rsid w:val="004E6F35"/>
    <w:rsid w:val="004E7681"/>
    <w:rsid w:val="004E7FB3"/>
    <w:rsid w:val="004F05DF"/>
    <w:rsid w:val="004F0B3B"/>
    <w:rsid w:val="004F2249"/>
    <w:rsid w:val="004F2B03"/>
    <w:rsid w:val="004F2F38"/>
    <w:rsid w:val="004F3A67"/>
    <w:rsid w:val="004F5AB8"/>
    <w:rsid w:val="004F6402"/>
    <w:rsid w:val="004F6F3C"/>
    <w:rsid w:val="004F73B6"/>
    <w:rsid w:val="004F7550"/>
    <w:rsid w:val="004F78DD"/>
    <w:rsid w:val="004F79AB"/>
    <w:rsid w:val="004F7E96"/>
    <w:rsid w:val="00500A32"/>
    <w:rsid w:val="0050146A"/>
    <w:rsid w:val="00501630"/>
    <w:rsid w:val="00502429"/>
    <w:rsid w:val="00503684"/>
    <w:rsid w:val="005037F9"/>
    <w:rsid w:val="00503EF0"/>
    <w:rsid w:val="005042C1"/>
    <w:rsid w:val="00505484"/>
    <w:rsid w:val="00506F37"/>
    <w:rsid w:val="00507098"/>
    <w:rsid w:val="00510E9D"/>
    <w:rsid w:val="00511294"/>
    <w:rsid w:val="005116CD"/>
    <w:rsid w:val="00513FDB"/>
    <w:rsid w:val="005162F5"/>
    <w:rsid w:val="00516710"/>
    <w:rsid w:val="00516F03"/>
    <w:rsid w:val="005176D5"/>
    <w:rsid w:val="00517AF5"/>
    <w:rsid w:val="005204AA"/>
    <w:rsid w:val="00520BB4"/>
    <w:rsid w:val="0052297D"/>
    <w:rsid w:val="00522F03"/>
    <w:rsid w:val="00523369"/>
    <w:rsid w:val="005236C0"/>
    <w:rsid w:val="00523BED"/>
    <w:rsid w:val="00524187"/>
    <w:rsid w:val="00524838"/>
    <w:rsid w:val="00527548"/>
    <w:rsid w:val="00530758"/>
    <w:rsid w:val="005316FF"/>
    <w:rsid w:val="005325AD"/>
    <w:rsid w:val="005327D3"/>
    <w:rsid w:val="0053287D"/>
    <w:rsid w:val="00533566"/>
    <w:rsid w:val="00534491"/>
    <w:rsid w:val="005352F3"/>
    <w:rsid w:val="005356BB"/>
    <w:rsid w:val="005358A0"/>
    <w:rsid w:val="00536FEB"/>
    <w:rsid w:val="00537C6F"/>
    <w:rsid w:val="00540167"/>
    <w:rsid w:val="0054019D"/>
    <w:rsid w:val="00540975"/>
    <w:rsid w:val="00542451"/>
    <w:rsid w:val="00542E63"/>
    <w:rsid w:val="00543D73"/>
    <w:rsid w:val="00544788"/>
    <w:rsid w:val="005453E9"/>
    <w:rsid w:val="00545539"/>
    <w:rsid w:val="005468DE"/>
    <w:rsid w:val="00551DFF"/>
    <w:rsid w:val="0055246D"/>
    <w:rsid w:val="00554AE5"/>
    <w:rsid w:val="00554D00"/>
    <w:rsid w:val="00556F04"/>
    <w:rsid w:val="005574F2"/>
    <w:rsid w:val="0055786C"/>
    <w:rsid w:val="0056157F"/>
    <w:rsid w:val="00564392"/>
    <w:rsid w:val="00565262"/>
    <w:rsid w:val="0056548B"/>
    <w:rsid w:val="0056553B"/>
    <w:rsid w:val="0056648D"/>
    <w:rsid w:val="00566B54"/>
    <w:rsid w:val="0057023C"/>
    <w:rsid w:val="00570533"/>
    <w:rsid w:val="0057083A"/>
    <w:rsid w:val="00570F06"/>
    <w:rsid w:val="00571169"/>
    <w:rsid w:val="00572543"/>
    <w:rsid w:val="00573AEC"/>
    <w:rsid w:val="00577401"/>
    <w:rsid w:val="0057748B"/>
    <w:rsid w:val="0057766C"/>
    <w:rsid w:val="00580394"/>
    <w:rsid w:val="00580E8A"/>
    <w:rsid w:val="005816B4"/>
    <w:rsid w:val="00581A02"/>
    <w:rsid w:val="00581B7F"/>
    <w:rsid w:val="005836E0"/>
    <w:rsid w:val="00584AD8"/>
    <w:rsid w:val="005853B3"/>
    <w:rsid w:val="00585678"/>
    <w:rsid w:val="00585BA5"/>
    <w:rsid w:val="00586081"/>
    <w:rsid w:val="00586282"/>
    <w:rsid w:val="00586577"/>
    <w:rsid w:val="00590158"/>
    <w:rsid w:val="005930FE"/>
    <w:rsid w:val="00594382"/>
    <w:rsid w:val="00594D67"/>
    <w:rsid w:val="00595A2C"/>
    <w:rsid w:val="005A1081"/>
    <w:rsid w:val="005A136A"/>
    <w:rsid w:val="005A29BD"/>
    <w:rsid w:val="005A52DB"/>
    <w:rsid w:val="005A5318"/>
    <w:rsid w:val="005A573C"/>
    <w:rsid w:val="005A5D23"/>
    <w:rsid w:val="005A5E91"/>
    <w:rsid w:val="005A6C1B"/>
    <w:rsid w:val="005A7075"/>
    <w:rsid w:val="005A7415"/>
    <w:rsid w:val="005B0411"/>
    <w:rsid w:val="005B045D"/>
    <w:rsid w:val="005B2E89"/>
    <w:rsid w:val="005B32FF"/>
    <w:rsid w:val="005B3717"/>
    <w:rsid w:val="005B37B3"/>
    <w:rsid w:val="005B3E24"/>
    <w:rsid w:val="005B3F6B"/>
    <w:rsid w:val="005B4460"/>
    <w:rsid w:val="005B4AD8"/>
    <w:rsid w:val="005B6D28"/>
    <w:rsid w:val="005B6D39"/>
    <w:rsid w:val="005B723F"/>
    <w:rsid w:val="005C0B03"/>
    <w:rsid w:val="005C0C04"/>
    <w:rsid w:val="005C0DA2"/>
    <w:rsid w:val="005C101E"/>
    <w:rsid w:val="005C14C4"/>
    <w:rsid w:val="005C1A47"/>
    <w:rsid w:val="005C1EBE"/>
    <w:rsid w:val="005C2F66"/>
    <w:rsid w:val="005C3348"/>
    <w:rsid w:val="005C37F2"/>
    <w:rsid w:val="005C56F6"/>
    <w:rsid w:val="005C57D7"/>
    <w:rsid w:val="005C6578"/>
    <w:rsid w:val="005C6D1E"/>
    <w:rsid w:val="005D0E8A"/>
    <w:rsid w:val="005D1296"/>
    <w:rsid w:val="005D177E"/>
    <w:rsid w:val="005D2EC6"/>
    <w:rsid w:val="005D393F"/>
    <w:rsid w:val="005D395B"/>
    <w:rsid w:val="005D39FF"/>
    <w:rsid w:val="005D5259"/>
    <w:rsid w:val="005D5270"/>
    <w:rsid w:val="005D6C5A"/>
    <w:rsid w:val="005D7723"/>
    <w:rsid w:val="005D7A58"/>
    <w:rsid w:val="005D7D14"/>
    <w:rsid w:val="005E03D2"/>
    <w:rsid w:val="005E0E66"/>
    <w:rsid w:val="005E2381"/>
    <w:rsid w:val="005E4AEF"/>
    <w:rsid w:val="005E5ED2"/>
    <w:rsid w:val="005E62EC"/>
    <w:rsid w:val="005E74C1"/>
    <w:rsid w:val="005E7BEE"/>
    <w:rsid w:val="005F18A4"/>
    <w:rsid w:val="005F24E0"/>
    <w:rsid w:val="005F27A7"/>
    <w:rsid w:val="005F2ACC"/>
    <w:rsid w:val="005F3FBB"/>
    <w:rsid w:val="005F46A6"/>
    <w:rsid w:val="005F5D58"/>
    <w:rsid w:val="005F6FF7"/>
    <w:rsid w:val="005F7CF7"/>
    <w:rsid w:val="005F7D5D"/>
    <w:rsid w:val="0060177E"/>
    <w:rsid w:val="00601BBF"/>
    <w:rsid w:val="0060232A"/>
    <w:rsid w:val="0060286C"/>
    <w:rsid w:val="00603084"/>
    <w:rsid w:val="006040EE"/>
    <w:rsid w:val="006045DC"/>
    <w:rsid w:val="00605262"/>
    <w:rsid w:val="00605BD1"/>
    <w:rsid w:val="00606B43"/>
    <w:rsid w:val="0060783B"/>
    <w:rsid w:val="0061164A"/>
    <w:rsid w:val="00611783"/>
    <w:rsid w:val="00613742"/>
    <w:rsid w:val="00613D09"/>
    <w:rsid w:val="00615497"/>
    <w:rsid w:val="006155D7"/>
    <w:rsid w:val="006159E9"/>
    <w:rsid w:val="00615B72"/>
    <w:rsid w:val="006174AC"/>
    <w:rsid w:val="00617DD1"/>
    <w:rsid w:val="00621EEB"/>
    <w:rsid w:val="006221EE"/>
    <w:rsid w:val="006223F5"/>
    <w:rsid w:val="00622555"/>
    <w:rsid w:val="006227C1"/>
    <w:rsid w:val="00622871"/>
    <w:rsid w:val="00623173"/>
    <w:rsid w:val="00623516"/>
    <w:rsid w:val="006254D4"/>
    <w:rsid w:val="0062556D"/>
    <w:rsid w:val="00625C8A"/>
    <w:rsid w:val="00625E04"/>
    <w:rsid w:val="00625F2F"/>
    <w:rsid w:val="00627F04"/>
    <w:rsid w:val="00630F11"/>
    <w:rsid w:val="006315C3"/>
    <w:rsid w:val="00631872"/>
    <w:rsid w:val="00631E1D"/>
    <w:rsid w:val="00632EBA"/>
    <w:rsid w:val="006332BF"/>
    <w:rsid w:val="0063405D"/>
    <w:rsid w:val="006340D9"/>
    <w:rsid w:val="0063425A"/>
    <w:rsid w:val="006342E4"/>
    <w:rsid w:val="00634AD0"/>
    <w:rsid w:val="00634E77"/>
    <w:rsid w:val="00636414"/>
    <w:rsid w:val="006408A3"/>
    <w:rsid w:val="00641659"/>
    <w:rsid w:val="00641778"/>
    <w:rsid w:val="00643DFB"/>
    <w:rsid w:val="00644477"/>
    <w:rsid w:val="00644E64"/>
    <w:rsid w:val="00646207"/>
    <w:rsid w:val="00647D3E"/>
    <w:rsid w:val="00651A32"/>
    <w:rsid w:val="00651FD4"/>
    <w:rsid w:val="0065286A"/>
    <w:rsid w:val="00652ECD"/>
    <w:rsid w:val="0065306E"/>
    <w:rsid w:val="006537E4"/>
    <w:rsid w:val="006550BB"/>
    <w:rsid w:val="00655CFF"/>
    <w:rsid w:val="0065638D"/>
    <w:rsid w:val="00656862"/>
    <w:rsid w:val="006573D0"/>
    <w:rsid w:val="006578BC"/>
    <w:rsid w:val="00657CEF"/>
    <w:rsid w:val="00660155"/>
    <w:rsid w:val="00660962"/>
    <w:rsid w:val="00661AFC"/>
    <w:rsid w:val="00661E1D"/>
    <w:rsid w:val="00662762"/>
    <w:rsid w:val="0066317F"/>
    <w:rsid w:val="0066492C"/>
    <w:rsid w:val="00664CEE"/>
    <w:rsid w:val="006664E3"/>
    <w:rsid w:val="00670A00"/>
    <w:rsid w:val="00670B9A"/>
    <w:rsid w:val="006711D7"/>
    <w:rsid w:val="0067120B"/>
    <w:rsid w:val="00672FE0"/>
    <w:rsid w:val="0067308A"/>
    <w:rsid w:val="00674226"/>
    <w:rsid w:val="0067457C"/>
    <w:rsid w:val="00676C77"/>
    <w:rsid w:val="00677AB2"/>
    <w:rsid w:val="00677F02"/>
    <w:rsid w:val="00680E76"/>
    <w:rsid w:val="0068101F"/>
    <w:rsid w:val="00681185"/>
    <w:rsid w:val="00683EE7"/>
    <w:rsid w:val="00684B97"/>
    <w:rsid w:val="00685618"/>
    <w:rsid w:val="00686381"/>
    <w:rsid w:val="0069098A"/>
    <w:rsid w:val="006909C7"/>
    <w:rsid w:val="00690E38"/>
    <w:rsid w:val="00691C0C"/>
    <w:rsid w:val="00691E62"/>
    <w:rsid w:val="00692E8B"/>
    <w:rsid w:val="0069313C"/>
    <w:rsid w:val="00694103"/>
    <w:rsid w:val="0069423D"/>
    <w:rsid w:val="006946E1"/>
    <w:rsid w:val="006967D6"/>
    <w:rsid w:val="00697FE2"/>
    <w:rsid w:val="006A05CE"/>
    <w:rsid w:val="006A0F1A"/>
    <w:rsid w:val="006A1A71"/>
    <w:rsid w:val="006A1DCA"/>
    <w:rsid w:val="006A3F70"/>
    <w:rsid w:val="006A4272"/>
    <w:rsid w:val="006A443D"/>
    <w:rsid w:val="006A498F"/>
    <w:rsid w:val="006A52E1"/>
    <w:rsid w:val="006A602E"/>
    <w:rsid w:val="006A6170"/>
    <w:rsid w:val="006A62BD"/>
    <w:rsid w:val="006A6616"/>
    <w:rsid w:val="006A71F0"/>
    <w:rsid w:val="006B1295"/>
    <w:rsid w:val="006B2486"/>
    <w:rsid w:val="006B32C4"/>
    <w:rsid w:val="006B40CB"/>
    <w:rsid w:val="006B516E"/>
    <w:rsid w:val="006B5AF9"/>
    <w:rsid w:val="006B5B72"/>
    <w:rsid w:val="006B6D1D"/>
    <w:rsid w:val="006C0029"/>
    <w:rsid w:val="006C0DBE"/>
    <w:rsid w:val="006C0E23"/>
    <w:rsid w:val="006C103D"/>
    <w:rsid w:val="006C11A7"/>
    <w:rsid w:val="006C1B35"/>
    <w:rsid w:val="006C27A4"/>
    <w:rsid w:val="006C2EF6"/>
    <w:rsid w:val="006C34D4"/>
    <w:rsid w:val="006C3BDC"/>
    <w:rsid w:val="006C4136"/>
    <w:rsid w:val="006C51D8"/>
    <w:rsid w:val="006C6725"/>
    <w:rsid w:val="006C73A0"/>
    <w:rsid w:val="006D03CC"/>
    <w:rsid w:val="006D0D11"/>
    <w:rsid w:val="006D15AB"/>
    <w:rsid w:val="006D2E1C"/>
    <w:rsid w:val="006D4207"/>
    <w:rsid w:val="006D4404"/>
    <w:rsid w:val="006D5F61"/>
    <w:rsid w:val="006D64BE"/>
    <w:rsid w:val="006D7F93"/>
    <w:rsid w:val="006E1031"/>
    <w:rsid w:val="006E1BF8"/>
    <w:rsid w:val="006E1C0D"/>
    <w:rsid w:val="006E2EDD"/>
    <w:rsid w:val="006E4D5D"/>
    <w:rsid w:val="006E5079"/>
    <w:rsid w:val="006E51BC"/>
    <w:rsid w:val="006E53E9"/>
    <w:rsid w:val="006E53FA"/>
    <w:rsid w:val="006E597E"/>
    <w:rsid w:val="006E65CD"/>
    <w:rsid w:val="006F0814"/>
    <w:rsid w:val="006F10F2"/>
    <w:rsid w:val="006F166D"/>
    <w:rsid w:val="006F3194"/>
    <w:rsid w:val="006F354E"/>
    <w:rsid w:val="006F523D"/>
    <w:rsid w:val="006F5939"/>
    <w:rsid w:val="006F67F1"/>
    <w:rsid w:val="00701ADE"/>
    <w:rsid w:val="00702E3C"/>
    <w:rsid w:val="007032A6"/>
    <w:rsid w:val="00704DEA"/>
    <w:rsid w:val="00706158"/>
    <w:rsid w:val="00706B14"/>
    <w:rsid w:val="00707D1D"/>
    <w:rsid w:val="00707E89"/>
    <w:rsid w:val="0071050F"/>
    <w:rsid w:val="00710672"/>
    <w:rsid w:val="007119FB"/>
    <w:rsid w:val="0071214C"/>
    <w:rsid w:val="007123CF"/>
    <w:rsid w:val="00712CBB"/>
    <w:rsid w:val="00712EE8"/>
    <w:rsid w:val="00713396"/>
    <w:rsid w:val="00713815"/>
    <w:rsid w:val="00713CBB"/>
    <w:rsid w:val="0071416A"/>
    <w:rsid w:val="0071470A"/>
    <w:rsid w:val="00714826"/>
    <w:rsid w:val="00717C43"/>
    <w:rsid w:val="00717FD6"/>
    <w:rsid w:val="00721E0D"/>
    <w:rsid w:val="00722A2D"/>
    <w:rsid w:val="00722B0C"/>
    <w:rsid w:val="00722BDD"/>
    <w:rsid w:val="00724681"/>
    <w:rsid w:val="00724B9D"/>
    <w:rsid w:val="007255CB"/>
    <w:rsid w:val="0072691B"/>
    <w:rsid w:val="007269B7"/>
    <w:rsid w:val="007272A9"/>
    <w:rsid w:val="00727830"/>
    <w:rsid w:val="00730FB6"/>
    <w:rsid w:val="007315E8"/>
    <w:rsid w:val="00732A99"/>
    <w:rsid w:val="00733DC6"/>
    <w:rsid w:val="00733F18"/>
    <w:rsid w:val="00733FD2"/>
    <w:rsid w:val="00734574"/>
    <w:rsid w:val="00734A93"/>
    <w:rsid w:val="00735C72"/>
    <w:rsid w:val="0073627F"/>
    <w:rsid w:val="00740606"/>
    <w:rsid w:val="00741634"/>
    <w:rsid w:val="00741F9F"/>
    <w:rsid w:val="00743192"/>
    <w:rsid w:val="00743E48"/>
    <w:rsid w:val="00745DF3"/>
    <w:rsid w:val="007460A4"/>
    <w:rsid w:val="0075016F"/>
    <w:rsid w:val="0075277F"/>
    <w:rsid w:val="00752A4E"/>
    <w:rsid w:val="00752D43"/>
    <w:rsid w:val="0075341B"/>
    <w:rsid w:val="0075535E"/>
    <w:rsid w:val="00756071"/>
    <w:rsid w:val="0075779D"/>
    <w:rsid w:val="00760382"/>
    <w:rsid w:val="007607B4"/>
    <w:rsid w:val="0076162A"/>
    <w:rsid w:val="00762ABD"/>
    <w:rsid w:val="00762CF9"/>
    <w:rsid w:val="007637A6"/>
    <w:rsid w:val="00763BA3"/>
    <w:rsid w:val="00763C9D"/>
    <w:rsid w:val="0076428C"/>
    <w:rsid w:val="00764EE4"/>
    <w:rsid w:val="00764F24"/>
    <w:rsid w:val="00765868"/>
    <w:rsid w:val="00766F31"/>
    <w:rsid w:val="007676C3"/>
    <w:rsid w:val="0076775D"/>
    <w:rsid w:val="007704F8"/>
    <w:rsid w:val="00770647"/>
    <w:rsid w:val="007714B9"/>
    <w:rsid w:val="007723B5"/>
    <w:rsid w:val="00772850"/>
    <w:rsid w:val="00772D37"/>
    <w:rsid w:val="0077348A"/>
    <w:rsid w:val="00774991"/>
    <w:rsid w:val="00777089"/>
    <w:rsid w:val="00777270"/>
    <w:rsid w:val="00780BD3"/>
    <w:rsid w:val="007815ED"/>
    <w:rsid w:val="00781828"/>
    <w:rsid w:val="007819C7"/>
    <w:rsid w:val="0078242E"/>
    <w:rsid w:val="007825C5"/>
    <w:rsid w:val="007835C6"/>
    <w:rsid w:val="00783F9D"/>
    <w:rsid w:val="00785CF3"/>
    <w:rsid w:val="007878DE"/>
    <w:rsid w:val="00787C48"/>
    <w:rsid w:val="00787E55"/>
    <w:rsid w:val="00792230"/>
    <w:rsid w:val="00792E17"/>
    <w:rsid w:val="00793374"/>
    <w:rsid w:val="007939C3"/>
    <w:rsid w:val="00794A33"/>
    <w:rsid w:val="00794C7D"/>
    <w:rsid w:val="007953A5"/>
    <w:rsid w:val="0079598B"/>
    <w:rsid w:val="00795BCA"/>
    <w:rsid w:val="00796965"/>
    <w:rsid w:val="00797DA1"/>
    <w:rsid w:val="007A0318"/>
    <w:rsid w:val="007A19DE"/>
    <w:rsid w:val="007A297D"/>
    <w:rsid w:val="007A2A1F"/>
    <w:rsid w:val="007A2B29"/>
    <w:rsid w:val="007A40AF"/>
    <w:rsid w:val="007A40B0"/>
    <w:rsid w:val="007A453E"/>
    <w:rsid w:val="007A4A65"/>
    <w:rsid w:val="007A5337"/>
    <w:rsid w:val="007A67B5"/>
    <w:rsid w:val="007A697A"/>
    <w:rsid w:val="007A6BF3"/>
    <w:rsid w:val="007A7D5B"/>
    <w:rsid w:val="007B0F60"/>
    <w:rsid w:val="007B137B"/>
    <w:rsid w:val="007B1A2C"/>
    <w:rsid w:val="007B1F23"/>
    <w:rsid w:val="007B215C"/>
    <w:rsid w:val="007B66AF"/>
    <w:rsid w:val="007B68F4"/>
    <w:rsid w:val="007C0247"/>
    <w:rsid w:val="007C0FE3"/>
    <w:rsid w:val="007C145C"/>
    <w:rsid w:val="007C1569"/>
    <w:rsid w:val="007C18DD"/>
    <w:rsid w:val="007C1A3E"/>
    <w:rsid w:val="007C2416"/>
    <w:rsid w:val="007C3164"/>
    <w:rsid w:val="007C3BD7"/>
    <w:rsid w:val="007C412F"/>
    <w:rsid w:val="007C437A"/>
    <w:rsid w:val="007C45B0"/>
    <w:rsid w:val="007C745D"/>
    <w:rsid w:val="007C7600"/>
    <w:rsid w:val="007C78FB"/>
    <w:rsid w:val="007D2116"/>
    <w:rsid w:val="007D3D38"/>
    <w:rsid w:val="007D3F9B"/>
    <w:rsid w:val="007D5DBC"/>
    <w:rsid w:val="007E05A6"/>
    <w:rsid w:val="007E0810"/>
    <w:rsid w:val="007E25F9"/>
    <w:rsid w:val="007E5174"/>
    <w:rsid w:val="007E57BA"/>
    <w:rsid w:val="007E7457"/>
    <w:rsid w:val="007F0433"/>
    <w:rsid w:val="007F121F"/>
    <w:rsid w:val="007F277F"/>
    <w:rsid w:val="007F314A"/>
    <w:rsid w:val="007F341E"/>
    <w:rsid w:val="007F56C4"/>
    <w:rsid w:val="007F5F6F"/>
    <w:rsid w:val="007F6128"/>
    <w:rsid w:val="007F69C2"/>
    <w:rsid w:val="007F6B7C"/>
    <w:rsid w:val="0080028A"/>
    <w:rsid w:val="00800F0A"/>
    <w:rsid w:val="00801BD2"/>
    <w:rsid w:val="00802529"/>
    <w:rsid w:val="0080288A"/>
    <w:rsid w:val="00802F55"/>
    <w:rsid w:val="00803C26"/>
    <w:rsid w:val="00807408"/>
    <w:rsid w:val="00807E7E"/>
    <w:rsid w:val="00810402"/>
    <w:rsid w:val="008110C8"/>
    <w:rsid w:val="008113A8"/>
    <w:rsid w:val="00811E5D"/>
    <w:rsid w:val="00812A14"/>
    <w:rsid w:val="00813B9D"/>
    <w:rsid w:val="008151C4"/>
    <w:rsid w:val="008168BB"/>
    <w:rsid w:val="00820678"/>
    <w:rsid w:val="00820E6B"/>
    <w:rsid w:val="00821C16"/>
    <w:rsid w:val="00822125"/>
    <w:rsid w:val="008223DD"/>
    <w:rsid w:val="00822736"/>
    <w:rsid w:val="00822E9C"/>
    <w:rsid w:val="00823974"/>
    <w:rsid w:val="00823E6E"/>
    <w:rsid w:val="008242F2"/>
    <w:rsid w:val="00824AD2"/>
    <w:rsid w:val="00824D97"/>
    <w:rsid w:val="00825363"/>
    <w:rsid w:val="008265B0"/>
    <w:rsid w:val="00826D2E"/>
    <w:rsid w:val="008275B3"/>
    <w:rsid w:val="00827B39"/>
    <w:rsid w:val="00827F7E"/>
    <w:rsid w:val="00830D05"/>
    <w:rsid w:val="00831E4D"/>
    <w:rsid w:val="008332E6"/>
    <w:rsid w:val="00835302"/>
    <w:rsid w:val="00837454"/>
    <w:rsid w:val="00840D7B"/>
    <w:rsid w:val="00842EFE"/>
    <w:rsid w:val="00843277"/>
    <w:rsid w:val="0084353B"/>
    <w:rsid w:val="008437D5"/>
    <w:rsid w:val="00843E32"/>
    <w:rsid w:val="00845337"/>
    <w:rsid w:val="00845AB4"/>
    <w:rsid w:val="00846049"/>
    <w:rsid w:val="0084734A"/>
    <w:rsid w:val="00847EA4"/>
    <w:rsid w:val="008513CC"/>
    <w:rsid w:val="008531D7"/>
    <w:rsid w:val="008533DB"/>
    <w:rsid w:val="008535D5"/>
    <w:rsid w:val="00853E15"/>
    <w:rsid w:val="0085495A"/>
    <w:rsid w:val="0085761E"/>
    <w:rsid w:val="00857C14"/>
    <w:rsid w:val="00860862"/>
    <w:rsid w:val="00861128"/>
    <w:rsid w:val="00861A00"/>
    <w:rsid w:val="008625A5"/>
    <w:rsid w:val="008634C4"/>
    <w:rsid w:val="0086358D"/>
    <w:rsid w:val="008640DC"/>
    <w:rsid w:val="00867266"/>
    <w:rsid w:val="00867601"/>
    <w:rsid w:val="008679E9"/>
    <w:rsid w:val="00870DC6"/>
    <w:rsid w:val="00871045"/>
    <w:rsid w:val="00872689"/>
    <w:rsid w:val="00873027"/>
    <w:rsid w:val="00873877"/>
    <w:rsid w:val="0087431E"/>
    <w:rsid w:val="00874F31"/>
    <w:rsid w:val="00875727"/>
    <w:rsid w:val="00875B6E"/>
    <w:rsid w:val="00875D2E"/>
    <w:rsid w:val="00876113"/>
    <w:rsid w:val="008763AF"/>
    <w:rsid w:val="00880474"/>
    <w:rsid w:val="008818A5"/>
    <w:rsid w:val="008835BE"/>
    <w:rsid w:val="00883602"/>
    <w:rsid w:val="00885E06"/>
    <w:rsid w:val="00885F33"/>
    <w:rsid w:val="0088691F"/>
    <w:rsid w:val="008869D4"/>
    <w:rsid w:val="00887128"/>
    <w:rsid w:val="008871FE"/>
    <w:rsid w:val="00891A00"/>
    <w:rsid w:val="00891A1C"/>
    <w:rsid w:val="00892044"/>
    <w:rsid w:val="00892057"/>
    <w:rsid w:val="00895E19"/>
    <w:rsid w:val="0089653A"/>
    <w:rsid w:val="00897B70"/>
    <w:rsid w:val="00897DE1"/>
    <w:rsid w:val="008A19DF"/>
    <w:rsid w:val="008A1DCD"/>
    <w:rsid w:val="008A2954"/>
    <w:rsid w:val="008A35F4"/>
    <w:rsid w:val="008A4169"/>
    <w:rsid w:val="008A4295"/>
    <w:rsid w:val="008A42EC"/>
    <w:rsid w:val="008A5385"/>
    <w:rsid w:val="008A5CD5"/>
    <w:rsid w:val="008A6550"/>
    <w:rsid w:val="008A6F15"/>
    <w:rsid w:val="008A7C93"/>
    <w:rsid w:val="008B0991"/>
    <w:rsid w:val="008B2028"/>
    <w:rsid w:val="008B3377"/>
    <w:rsid w:val="008B354B"/>
    <w:rsid w:val="008B35E5"/>
    <w:rsid w:val="008B52D5"/>
    <w:rsid w:val="008B6C10"/>
    <w:rsid w:val="008B7DD7"/>
    <w:rsid w:val="008B7E95"/>
    <w:rsid w:val="008C0A7B"/>
    <w:rsid w:val="008C2E4D"/>
    <w:rsid w:val="008C3C38"/>
    <w:rsid w:val="008C4B4F"/>
    <w:rsid w:val="008C54D8"/>
    <w:rsid w:val="008C695E"/>
    <w:rsid w:val="008C6CF8"/>
    <w:rsid w:val="008C6DF1"/>
    <w:rsid w:val="008D056F"/>
    <w:rsid w:val="008D0A3D"/>
    <w:rsid w:val="008D0FC2"/>
    <w:rsid w:val="008D1A51"/>
    <w:rsid w:val="008D1BD9"/>
    <w:rsid w:val="008D1DED"/>
    <w:rsid w:val="008D2346"/>
    <w:rsid w:val="008D2A42"/>
    <w:rsid w:val="008D2D04"/>
    <w:rsid w:val="008D3032"/>
    <w:rsid w:val="008D32A5"/>
    <w:rsid w:val="008D3689"/>
    <w:rsid w:val="008D60FF"/>
    <w:rsid w:val="008D6C17"/>
    <w:rsid w:val="008D7044"/>
    <w:rsid w:val="008D797D"/>
    <w:rsid w:val="008E09F8"/>
    <w:rsid w:val="008E1573"/>
    <w:rsid w:val="008E20D2"/>
    <w:rsid w:val="008E3142"/>
    <w:rsid w:val="008E43AB"/>
    <w:rsid w:val="008E463B"/>
    <w:rsid w:val="008E565F"/>
    <w:rsid w:val="008E613F"/>
    <w:rsid w:val="008E719B"/>
    <w:rsid w:val="008E746A"/>
    <w:rsid w:val="008F0530"/>
    <w:rsid w:val="008F0962"/>
    <w:rsid w:val="008F2B63"/>
    <w:rsid w:val="008F33F4"/>
    <w:rsid w:val="008F3D2D"/>
    <w:rsid w:val="008F5DA1"/>
    <w:rsid w:val="008F7891"/>
    <w:rsid w:val="008F7B69"/>
    <w:rsid w:val="00900817"/>
    <w:rsid w:val="00900EE2"/>
    <w:rsid w:val="00902177"/>
    <w:rsid w:val="009025EF"/>
    <w:rsid w:val="00902C42"/>
    <w:rsid w:val="009038A3"/>
    <w:rsid w:val="00903B1B"/>
    <w:rsid w:val="0090444D"/>
    <w:rsid w:val="009049EB"/>
    <w:rsid w:val="00905B00"/>
    <w:rsid w:val="00906584"/>
    <w:rsid w:val="00907EE2"/>
    <w:rsid w:val="0091000D"/>
    <w:rsid w:val="009126F2"/>
    <w:rsid w:val="009137E1"/>
    <w:rsid w:val="00914B4E"/>
    <w:rsid w:val="00914CE5"/>
    <w:rsid w:val="0091781D"/>
    <w:rsid w:val="00920F38"/>
    <w:rsid w:val="00920FAE"/>
    <w:rsid w:val="009219F1"/>
    <w:rsid w:val="00922FEE"/>
    <w:rsid w:val="009230F3"/>
    <w:rsid w:val="00924C24"/>
    <w:rsid w:val="00924EFA"/>
    <w:rsid w:val="009260BC"/>
    <w:rsid w:val="00926435"/>
    <w:rsid w:val="00926944"/>
    <w:rsid w:val="00926DBB"/>
    <w:rsid w:val="00926DC2"/>
    <w:rsid w:val="009302BC"/>
    <w:rsid w:val="00930AB4"/>
    <w:rsid w:val="00931ADB"/>
    <w:rsid w:val="009325E1"/>
    <w:rsid w:val="0093261F"/>
    <w:rsid w:val="00932ACB"/>
    <w:rsid w:val="00933CFF"/>
    <w:rsid w:val="00934E6C"/>
    <w:rsid w:val="0093563D"/>
    <w:rsid w:val="0093589E"/>
    <w:rsid w:val="00935F25"/>
    <w:rsid w:val="00937359"/>
    <w:rsid w:val="009378D4"/>
    <w:rsid w:val="0094033D"/>
    <w:rsid w:val="0094083F"/>
    <w:rsid w:val="00942BCD"/>
    <w:rsid w:val="0094319E"/>
    <w:rsid w:val="00943D39"/>
    <w:rsid w:val="00944F65"/>
    <w:rsid w:val="00946B75"/>
    <w:rsid w:val="00950667"/>
    <w:rsid w:val="0095081E"/>
    <w:rsid w:val="00950FB8"/>
    <w:rsid w:val="00953559"/>
    <w:rsid w:val="009546CB"/>
    <w:rsid w:val="00954BF5"/>
    <w:rsid w:val="00955B58"/>
    <w:rsid w:val="009571B3"/>
    <w:rsid w:val="00957844"/>
    <w:rsid w:val="00960D34"/>
    <w:rsid w:val="00961AF8"/>
    <w:rsid w:val="00962388"/>
    <w:rsid w:val="009627F3"/>
    <w:rsid w:val="00964B55"/>
    <w:rsid w:val="0096534A"/>
    <w:rsid w:val="009663E8"/>
    <w:rsid w:val="00966F3B"/>
    <w:rsid w:val="00967CB3"/>
    <w:rsid w:val="0097120C"/>
    <w:rsid w:val="00974EDC"/>
    <w:rsid w:val="009752C1"/>
    <w:rsid w:val="00976E0B"/>
    <w:rsid w:val="0097767E"/>
    <w:rsid w:val="00977AE8"/>
    <w:rsid w:val="00977BD6"/>
    <w:rsid w:val="009804E5"/>
    <w:rsid w:val="00982E09"/>
    <w:rsid w:val="009832DF"/>
    <w:rsid w:val="009835BC"/>
    <w:rsid w:val="009854C9"/>
    <w:rsid w:val="00985E68"/>
    <w:rsid w:val="00986707"/>
    <w:rsid w:val="0098749A"/>
    <w:rsid w:val="00987EFD"/>
    <w:rsid w:val="0099030A"/>
    <w:rsid w:val="00991226"/>
    <w:rsid w:val="009913DE"/>
    <w:rsid w:val="00992A58"/>
    <w:rsid w:val="00993102"/>
    <w:rsid w:val="00995912"/>
    <w:rsid w:val="00996CA6"/>
    <w:rsid w:val="0099704E"/>
    <w:rsid w:val="00997678"/>
    <w:rsid w:val="009978C5"/>
    <w:rsid w:val="009A03D5"/>
    <w:rsid w:val="009A0C24"/>
    <w:rsid w:val="009A12F7"/>
    <w:rsid w:val="009A167A"/>
    <w:rsid w:val="009A2022"/>
    <w:rsid w:val="009A2D42"/>
    <w:rsid w:val="009A3C8F"/>
    <w:rsid w:val="009A3E99"/>
    <w:rsid w:val="009A555A"/>
    <w:rsid w:val="009A574B"/>
    <w:rsid w:val="009A61C0"/>
    <w:rsid w:val="009A6C28"/>
    <w:rsid w:val="009A776D"/>
    <w:rsid w:val="009B3179"/>
    <w:rsid w:val="009B349A"/>
    <w:rsid w:val="009B5A16"/>
    <w:rsid w:val="009B5B23"/>
    <w:rsid w:val="009B5B50"/>
    <w:rsid w:val="009B5F3A"/>
    <w:rsid w:val="009C0F16"/>
    <w:rsid w:val="009C24B6"/>
    <w:rsid w:val="009C325E"/>
    <w:rsid w:val="009C3B96"/>
    <w:rsid w:val="009C3F6E"/>
    <w:rsid w:val="009C568E"/>
    <w:rsid w:val="009C7ABC"/>
    <w:rsid w:val="009C7BAA"/>
    <w:rsid w:val="009C7E7A"/>
    <w:rsid w:val="009C7F7B"/>
    <w:rsid w:val="009D045B"/>
    <w:rsid w:val="009D066F"/>
    <w:rsid w:val="009D1336"/>
    <w:rsid w:val="009D1FD5"/>
    <w:rsid w:val="009D2582"/>
    <w:rsid w:val="009D479C"/>
    <w:rsid w:val="009D4957"/>
    <w:rsid w:val="009D4C06"/>
    <w:rsid w:val="009D665B"/>
    <w:rsid w:val="009D6CB6"/>
    <w:rsid w:val="009D78C9"/>
    <w:rsid w:val="009E0AB2"/>
    <w:rsid w:val="009E0F1C"/>
    <w:rsid w:val="009E10D2"/>
    <w:rsid w:val="009E1144"/>
    <w:rsid w:val="009E1410"/>
    <w:rsid w:val="009E146B"/>
    <w:rsid w:val="009E15EC"/>
    <w:rsid w:val="009E248F"/>
    <w:rsid w:val="009E4246"/>
    <w:rsid w:val="009E4EBC"/>
    <w:rsid w:val="009E5ABD"/>
    <w:rsid w:val="009E60A5"/>
    <w:rsid w:val="009E6B73"/>
    <w:rsid w:val="009E7CB3"/>
    <w:rsid w:val="009F0561"/>
    <w:rsid w:val="009F205F"/>
    <w:rsid w:val="009F2315"/>
    <w:rsid w:val="009F25E1"/>
    <w:rsid w:val="009F3435"/>
    <w:rsid w:val="009F3467"/>
    <w:rsid w:val="009F3881"/>
    <w:rsid w:val="009F3DD0"/>
    <w:rsid w:val="009F4589"/>
    <w:rsid w:val="009F6397"/>
    <w:rsid w:val="00A00000"/>
    <w:rsid w:val="00A00AD9"/>
    <w:rsid w:val="00A01961"/>
    <w:rsid w:val="00A03F6A"/>
    <w:rsid w:val="00A04E2C"/>
    <w:rsid w:val="00A05165"/>
    <w:rsid w:val="00A05C15"/>
    <w:rsid w:val="00A06B07"/>
    <w:rsid w:val="00A06BB5"/>
    <w:rsid w:val="00A06F97"/>
    <w:rsid w:val="00A10123"/>
    <w:rsid w:val="00A11E1E"/>
    <w:rsid w:val="00A125EF"/>
    <w:rsid w:val="00A129B7"/>
    <w:rsid w:val="00A133ED"/>
    <w:rsid w:val="00A13E1C"/>
    <w:rsid w:val="00A1516E"/>
    <w:rsid w:val="00A1629C"/>
    <w:rsid w:val="00A163AF"/>
    <w:rsid w:val="00A167E1"/>
    <w:rsid w:val="00A17169"/>
    <w:rsid w:val="00A17365"/>
    <w:rsid w:val="00A178E5"/>
    <w:rsid w:val="00A21505"/>
    <w:rsid w:val="00A21B58"/>
    <w:rsid w:val="00A21F8F"/>
    <w:rsid w:val="00A234AF"/>
    <w:rsid w:val="00A2361B"/>
    <w:rsid w:val="00A23A37"/>
    <w:rsid w:val="00A24599"/>
    <w:rsid w:val="00A251FE"/>
    <w:rsid w:val="00A25321"/>
    <w:rsid w:val="00A257C2"/>
    <w:rsid w:val="00A25885"/>
    <w:rsid w:val="00A258BC"/>
    <w:rsid w:val="00A25CD8"/>
    <w:rsid w:val="00A2682B"/>
    <w:rsid w:val="00A279A8"/>
    <w:rsid w:val="00A27A91"/>
    <w:rsid w:val="00A27FCF"/>
    <w:rsid w:val="00A3074E"/>
    <w:rsid w:val="00A32025"/>
    <w:rsid w:val="00A326BF"/>
    <w:rsid w:val="00A327D3"/>
    <w:rsid w:val="00A3286D"/>
    <w:rsid w:val="00A34739"/>
    <w:rsid w:val="00A34BFE"/>
    <w:rsid w:val="00A35245"/>
    <w:rsid w:val="00A36615"/>
    <w:rsid w:val="00A36EFA"/>
    <w:rsid w:val="00A4001E"/>
    <w:rsid w:val="00A40455"/>
    <w:rsid w:val="00A40CF9"/>
    <w:rsid w:val="00A42D71"/>
    <w:rsid w:val="00A4354C"/>
    <w:rsid w:val="00A43968"/>
    <w:rsid w:val="00A46B9D"/>
    <w:rsid w:val="00A4714A"/>
    <w:rsid w:val="00A50FB7"/>
    <w:rsid w:val="00A51FA7"/>
    <w:rsid w:val="00A52AD9"/>
    <w:rsid w:val="00A55FDA"/>
    <w:rsid w:val="00A56D80"/>
    <w:rsid w:val="00A60B0C"/>
    <w:rsid w:val="00A619A1"/>
    <w:rsid w:val="00A63345"/>
    <w:rsid w:val="00A63A97"/>
    <w:rsid w:val="00A64E26"/>
    <w:rsid w:val="00A65553"/>
    <w:rsid w:val="00A66B44"/>
    <w:rsid w:val="00A66DE2"/>
    <w:rsid w:val="00A673FD"/>
    <w:rsid w:val="00A678D8"/>
    <w:rsid w:val="00A710EA"/>
    <w:rsid w:val="00A71534"/>
    <w:rsid w:val="00A72F06"/>
    <w:rsid w:val="00A73612"/>
    <w:rsid w:val="00A747FC"/>
    <w:rsid w:val="00A74A24"/>
    <w:rsid w:val="00A75645"/>
    <w:rsid w:val="00A75956"/>
    <w:rsid w:val="00A75C42"/>
    <w:rsid w:val="00A77C9F"/>
    <w:rsid w:val="00A80064"/>
    <w:rsid w:val="00A80770"/>
    <w:rsid w:val="00A81038"/>
    <w:rsid w:val="00A840CA"/>
    <w:rsid w:val="00A86A63"/>
    <w:rsid w:val="00A90A35"/>
    <w:rsid w:val="00A916D5"/>
    <w:rsid w:val="00A91F5F"/>
    <w:rsid w:val="00A925CC"/>
    <w:rsid w:val="00A927A3"/>
    <w:rsid w:val="00A9291B"/>
    <w:rsid w:val="00A93A21"/>
    <w:rsid w:val="00A9438A"/>
    <w:rsid w:val="00A9444C"/>
    <w:rsid w:val="00A94AE0"/>
    <w:rsid w:val="00A96B9C"/>
    <w:rsid w:val="00A96E3F"/>
    <w:rsid w:val="00A97441"/>
    <w:rsid w:val="00AA1F70"/>
    <w:rsid w:val="00AA2AC0"/>
    <w:rsid w:val="00AA31AD"/>
    <w:rsid w:val="00AA3D41"/>
    <w:rsid w:val="00AA52C6"/>
    <w:rsid w:val="00AA7745"/>
    <w:rsid w:val="00AB05D3"/>
    <w:rsid w:val="00AB124F"/>
    <w:rsid w:val="00AB166E"/>
    <w:rsid w:val="00AB1D79"/>
    <w:rsid w:val="00AB22C5"/>
    <w:rsid w:val="00AB3B68"/>
    <w:rsid w:val="00AB3EF4"/>
    <w:rsid w:val="00AB47D4"/>
    <w:rsid w:val="00AB6CD1"/>
    <w:rsid w:val="00AB7A29"/>
    <w:rsid w:val="00AC05CD"/>
    <w:rsid w:val="00AC2C48"/>
    <w:rsid w:val="00AC2D0A"/>
    <w:rsid w:val="00AC32C3"/>
    <w:rsid w:val="00AC36CC"/>
    <w:rsid w:val="00AC4915"/>
    <w:rsid w:val="00AC533F"/>
    <w:rsid w:val="00AC56A0"/>
    <w:rsid w:val="00AC6615"/>
    <w:rsid w:val="00AC6815"/>
    <w:rsid w:val="00AC6BB4"/>
    <w:rsid w:val="00AC7D04"/>
    <w:rsid w:val="00AC7E2B"/>
    <w:rsid w:val="00AD0006"/>
    <w:rsid w:val="00AD00C3"/>
    <w:rsid w:val="00AD1254"/>
    <w:rsid w:val="00AD1ECF"/>
    <w:rsid w:val="00AD308D"/>
    <w:rsid w:val="00AD4B05"/>
    <w:rsid w:val="00AD5659"/>
    <w:rsid w:val="00AD63E8"/>
    <w:rsid w:val="00AD6658"/>
    <w:rsid w:val="00AD6AB9"/>
    <w:rsid w:val="00AD6CBF"/>
    <w:rsid w:val="00AD7C0A"/>
    <w:rsid w:val="00AE1113"/>
    <w:rsid w:val="00AE32C0"/>
    <w:rsid w:val="00AE32CB"/>
    <w:rsid w:val="00AE49C0"/>
    <w:rsid w:val="00AE4B51"/>
    <w:rsid w:val="00AE544D"/>
    <w:rsid w:val="00AE5C8E"/>
    <w:rsid w:val="00AE7569"/>
    <w:rsid w:val="00AE7E61"/>
    <w:rsid w:val="00AF021E"/>
    <w:rsid w:val="00AF04FB"/>
    <w:rsid w:val="00AF13B6"/>
    <w:rsid w:val="00AF1D74"/>
    <w:rsid w:val="00AF2732"/>
    <w:rsid w:val="00AF495A"/>
    <w:rsid w:val="00AF628D"/>
    <w:rsid w:val="00B008ED"/>
    <w:rsid w:val="00B0255D"/>
    <w:rsid w:val="00B033A8"/>
    <w:rsid w:val="00B037D5"/>
    <w:rsid w:val="00B04081"/>
    <w:rsid w:val="00B04F40"/>
    <w:rsid w:val="00B050ED"/>
    <w:rsid w:val="00B05DE4"/>
    <w:rsid w:val="00B07161"/>
    <w:rsid w:val="00B10310"/>
    <w:rsid w:val="00B10700"/>
    <w:rsid w:val="00B11237"/>
    <w:rsid w:val="00B12376"/>
    <w:rsid w:val="00B12DCD"/>
    <w:rsid w:val="00B153B3"/>
    <w:rsid w:val="00B155C7"/>
    <w:rsid w:val="00B15AEB"/>
    <w:rsid w:val="00B17AD9"/>
    <w:rsid w:val="00B2221B"/>
    <w:rsid w:val="00B23644"/>
    <w:rsid w:val="00B237DA"/>
    <w:rsid w:val="00B2617C"/>
    <w:rsid w:val="00B2689E"/>
    <w:rsid w:val="00B30087"/>
    <w:rsid w:val="00B3059B"/>
    <w:rsid w:val="00B30D67"/>
    <w:rsid w:val="00B31E00"/>
    <w:rsid w:val="00B328C3"/>
    <w:rsid w:val="00B33168"/>
    <w:rsid w:val="00B34941"/>
    <w:rsid w:val="00B34C63"/>
    <w:rsid w:val="00B3738F"/>
    <w:rsid w:val="00B418FD"/>
    <w:rsid w:val="00B4234F"/>
    <w:rsid w:val="00B43F9E"/>
    <w:rsid w:val="00B44EA3"/>
    <w:rsid w:val="00B45612"/>
    <w:rsid w:val="00B46153"/>
    <w:rsid w:val="00B466A0"/>
    <w:rsid w:val="00B5052E"/>
    <w:rsid w:val="00B51392"/>
    <w:rsid w:val="00B525AE"/>
    <w:rsid w:val="00B558D4"/>
    <w:rsid w:val="00B56B76"/>
    <w:rsid w:val="00B616C4"/>
    <w:rsid w:val="00B63C58"/>
    <w:rsid w:val="00B63CF0"/>
    <w:rsid w:val="00B65D5E"/>
    <w:rsid w:val="00B669AF"/>
    <w:rsid w:val="00B66EB7"/>
    <w:rsid w:val="00B67149"/>
    <w:rsid w:val="00B7010E"/>
    <w:rsid w:val="00B701C2"/>
    <w:rsid w:val="00B725C6"/>
    <w:rsid w:val="00B73B0A"/>
    <w:rsid w:val="00B75C17"/>
    <w:rsid w:val="00B773C8"/>
    <w:rsid w:val="00B804E5"/>
    <w:rsid w:val="00B8079A"/>
    <w:rsid w:val="00B82E78"/>
    <w:rsid w:val="00B83185"/>
    <w:rsid w:val="00B836D7"/>
    <w:rsid w:val="00B845F3"/>
    <w:rsid w:val="00B8642C"/>
    <w:rsid w:val="00B8695B"/>
    <w:rsid w:val="00B86C78"/>
    <w:rsid w:val="00B8781B"/>
    <w:rsid w:val="00B903AB"/>
    <w:rsid w:val="00B90D77"/>
    <w:rsid w:val="00B914A0"/>
    <w:rsid w:val="00B91DE5"/>
    <w:rsid w:val="00B92E55"/>
    <w:rsid w:val="00B93DA9"/>
    <w:rsid w:val="00B94908"/>
    <w:rsid w:val="00B957A8"/>
    <w:rsid w:val="00B9589C"/>
    <w:rsid w:val="00B975DD"/>
    <w:rsid w:val="00BA0029"/>
    <w:rsid w:val="00BA06F7"/>
    <w:rsid w:val="00BA22D1"/>
    <w:rsid w:val="00BA29BE"/>
    <w:rsid w:val="00BA2B86"/>
    <w:rsid w:val="00BA406A"/>
    <w:rsid w:val="00BA655D"/>
    <w:rsid w:val="00BB04B1"/>
    <w:rsid w:val="00BB1059"/>
    <w:rsid w:val="00BB1805"/>
    <w:rsid w:val="00BB1FC7"/>
    <w:rsid w:val="00BB356B"/>
    <w:rsid w:val="00BB4DE7"/>
    <w:rsid w:val="00BB519D"/>
    <w:rsid w:val="00BB59F8"/>
    <w:rsid w:val="00BB650D"/>
    <w:rsid w:val="00BB6764"/>
    <w:rsid w:val="00BB6BEE"/>
    <w:rsid w:val="00BB7913"/>
    <w:rsid w:val="00BC2BFE"/>
    <w:rsid w:val="00BC2FF4"/>
    <w:rsid w:val="00BC5657"/>
    <w:rsid w:val="00BC7F2C"/>
    <w:rsid w:val="00BD0F7B"/>
    <w:rsid w:val="00BD163C"/>
    <w:rsid w:val="00BD20CB"/>
    <w:rsid w:val="00BD2840"/>
    <w:rsid w:val="00BD3D72"/>
    <w:rsid w:val="00BD3F72"/>
    <w:rsid w:val="00BD45B9"/>
    <w:rsid w:val="00BD4E33"/>
    <w:rsid w:val="00BD5D2D"/>
    <w:rsid w:val="00BD5DC4"/>
    <w:rsid w:val="00BD6CB6"/>
    <w:rsid w:val="00BD7947"/>
    <w:rsid w:val="00BE01D7"/>
    <w:rsid w:val="00BE10B0"/>
    <w:rsid w:val="00BE210E"/>
    <w:rsid w:val="00BE2834"/>
    <w:rsid w:val="00BE2BD0"/>
    <w:rsid w:val="00BE2EE6"/>
    <w:rsid w:val="00BE2F2C"/>
    <w:rsid w:val="00BE325E"/>
    <w:rsid w:val="00BE3C23"/>
    <w:rsid w:val="00BE3C6A"/>
    <w:rsid w:val="00BE3D2F"/>
    <w:rsid w:val="00BE4F68"/>
    <w:rsid w:val="00BE60CB"/>
    <w:rsid w:val="00BE6FD8"/>
    <w:rsid w:val="00BE75FD"/>
    <w:rsid w:val="00BF112B"/>
    <w:rsid w:val="00BF1BBC"/>
    <w:rsid w:val="00BF2327"/>
    <w:rsid w:val="00BF2A12"/>
    <w:rsid w:val="00BF34E5"/>
    <w:rsid w:val="00BF397B"/>
    <w:rsid w:val="00BF3E0D"/>
    <w:rsid w:val="00BF4920"/>
    <w:rsid w:val="00BF4BCF"/>
    <w:rsid w:val="00BF7DFC"/>
    <w:rsid w:val="00C002FF"/>
    <w:rsid w:val="00C0046B"/>
    <w:rsid w:val="00C01249"/>
    <w:rsid w:val="00C01F64"/>
    <w:rsid w:val="00C036EC"/>
    <w:rsid w:val="00C041DB"/>
    <w:rsid w:val="00C047B7"/>
    <w:rsid w:val="00C05BFA"/>
    <w:rsid w:val="00C0798C"/>
    <w:rsid w:val="00C103CA"/>
    <w:rsid w:val="00C10545"/>
    <w:rsid w:val="00C10ED2"/>
    <w:rsid w:val="00C11AE2"/>
    <w:rsid w:val="00C12F08"/>
    <w:rsid w:val="00C1394B"/>
    <w:rsid w:val="00C1395A"/>
    <w:rsid w:val="00C13B36"/>
    <w:rsid w:val="00C13D1E"/>
    <w:rsid w:val="00C13F67"/>
    <w:rsid w:val="00C14A98"/>
    <w:rsid w:val="00C16424"/>
    <w:rsid w:val="00C16F5E"/>
    <w:rsid w:val="00C2155F"/>
    <w:rsid w:val="00C2170B"/>
    <w:rsid w:val="00C21A8A"/>
    <w:rsid w:val="00C224EF"/>
    <w:rsid w:val="00C22E62"/>
    <w:rsid w:val="00C24963"/>
    <w:rsid w:val="00C2560C"/>
    <w:rsid w:val="00C264B0"/>
    <w:rsid w:val="00C2655C"/>
    <w:rsid w:val="00C269FF"/>
    <w:rsid w:val="00C27005"/>
    <w:rsid w:val="00C27A8F"/>
    <w:rsid w:val="00C3074D"/>
    <w:rsid w:val="00C30F4D"/>
    <w:rsid w:val="00C313C9"/>
    <w:rsid w:val="00C3416C"/>
    <w:rsid w:val="00C341CD"/>
    <w:rsid w:val="00C35546"/>
    <w:rsid w:val="00C36AD6"/>
    <w:rsid w:val="00C40449"/>
    <w:rsid w:val="00C42CFC"/>
    <w:rsid w:val="00C4352D"/>
    <w:rsid w:val="00C437A1"/>
    <w:rsid w:val="00C437CC"/>
    <w:rsid w:val="00C469F8"/>
    <w:rsid w:val="00C470D0"/>
    <w:rsid w:val="00C47487"/>
    <w:rsid w:val="00C47787"/>
    <w:rsid w:val="00C5401D"/>
    <w:rsid w:val="00C5467C"/>
    <w:rsid w:val="00C56B4D"/>
    <w:rsid w:val="00C56E22"/>
    <w:rsid w:val="00C56EB0"/>
    <w:rsid w:val="00C60C6A"/>
    <w:rsid w:val="00C61C86"/>
    <w:rsid w:val="00C6208E"/>
    <w:rsid w:val="00C621F3"/>
    <w:rsid w:val="00C6561F"/>
    <w:rsid w:val="00C65F24"/>
    <w:rsid w:val="00C670FA"/>
    <w:rsid w:val="00C71438"/>
    <w:rsid w:val="00C71447"/>
    <w:rsid w:val="00C72C79"/>
    <w:rsid w:val="00C72F08"/>
    <w:rsid w:val="00C73520"/>
    <w:rsid w:val="00C742EE"/>
    <w:rsid w:val="00C74937"/>
    <w:rsid w:val="00C75622"/>
    <w:rsid w:val="00C75DC1"/>
    <w:rsid w:val="00C75FDE"/>
    <w:rsid w:val="00C76757"/>
    <w:rsid w:val="00C8141C"/>
    <w:rsid w:val="00C820BE"/>
    <w:rsid w:val="00C82C3C"/>
    <w:rsid w:val="00C82C55"/>
    <w:rsid w:val="00C847E2"/>
    <w:rsid w:val="00C8503F"/>
    <w:rsid w:val="00C85C26"/>
    <w:rsid w:val="00C8652C"/>
    <w:rsid w:val="00C87AC9"/>
    <w:rsid w:val="00C902AC"/>
    <w:rsid w:val="00C90C07"/>
    <w:rsid w:val="00C91041"/>
    <w:rsid w:val="00C91823"/>
    <w:rsid w:val="00C9230A"/>
    <w:rsid w:val="00C94644"/>
    <w:rsid w:val="00C94660"/>
    <w:rsid w:val="00C959A4"/>
    <w:rsid w:val="00C96B48"/>
    <w:rsid w:val="00C96F6C"/>
    <w:rsid w:val="00C97037"/>
    <w:rsid w:val="00C9724B"/>
    <w:rsid w:val="00C97665"/>
    <w:rsid w:val="00C9785D"/>
    <w:rsid w:val="00CA09E4"/>
    <w:rsid w:val="00CA1670"/>
    <w:rsid w:val="00CA292C"/>
    <w:rsid w:val="00CA34C7"/>
    <w:rsid w:val="00CA63CB"/>
    <w:rsid w:val="00CA6A1C"/>
    <w:rsid w:val="00CA6A9B"/>
    <w:rsid w:val="00CA6F50"/>
    <w:rsid w:val="00CA7122"/>
    <w:rsid w:val="00CB0141"/>
    <w:rsid w:val="00CB0C25"/>
    <w:rsid w:val="00CB1EAA"/>
    <w:rsid w:val="00CB2526"/>
    <w:rsid w:val="00CB27A1"/>
    <w:rsid w:val="00CB3748"/>
    <w:rsid w:val="00CB3B15"/>
    <w:rsid w:val="00CB3CE0"/>
    <w:rsid w:val="00CB4FD4"/>
    <w:rsid w:val="00CB6652"/>
    <w:rsid w:val="00CB6E0C"/>
    <w:rsid w:val="00CB73E2"/>
    <w:rsid w:val="00CC10F7"/>
    <w:rsid w:val="00CC1463"/>
    <w:rsid w:val="00CC1507"/>
    <w:rsid w:val="00CC1E88"/>
    <w:rsid w:val="00CC23B5"/>
    <w:rsid w:val="00CC326F"/>
    <w:rsid w:val="00CC388F"/>
    <w:rsid w:val="00CC663E"/>
    <w:rsid w:val="00CC75EF"/>
    <w:rsid w:val="00CD2863"/>
    <w:rsid w:val="00CD4155"/>
    <w:rsid w:val="00CD4B5F"/>
    <w:rsid w:val="00CD5423"/>
    <w:rsid w:val="00CD6461"/>
    <w:rsid w:val="00CD68F9"/>
    <w:rsid w:val="00CE267F"/>
    <w:rsid w:val="00CE2BB0"/>
    <w:rsid w:val="00CE3218"/>
    <w:rsid w:val="00CE35CD"/>
    <w:rsid w:val="00CE3906"/>
    <w:rsid w:val="00CE4BBA"/>
    <w:rsid w:val="00CE4D56"/>
    <w:rsid w:val="00CE5357"/>
    <w:rsid w:val="00CE53B4"/>
    <w:rsid w:val="00CE5A8C"/>
    <w:rsid w:val="00CE7C1C"/>
    <w:rsid w:val="00CE7EAD"/>
    <w:rsid w:val="00CF0869"/>
    <w:rsid w:val="00CF0870"/>
    <w:rsid w:val="00CF0A32"/>
    <w:rsid w:val="00CF39A8"/>
    <w:rsid w:val="00CF3D36"/>
    <w:rsid w:val="00CF4B75"/>
    <w:rsid w:val="00CF4BA0"/>
    <w:rsid w:val="00CF5995"/>
    <w:rsid w:val="00CF5C50"/>
    <w:rsid w:val="00CF664F"/>
    <w:rsid w:val="00D0189A"/>
    <w:rsid w:val="00D042F7"/>
    <w:rsid w:val="00D043F9"/>
    <w:rsid w:val="00D061D0"/>
    <w:rsid w:val="00D07F88"/>
    <w:rsid w:val="00D11609"/>
    <w:rsid w:val="00D117BB"/>
    <w:rsid w:val="00D14C93"/>
    <w:rsid w:val="00D15349"/>
    <w:rsid w:val="00D15F13"/>
    <w:rsid w:val="00D17080"/>
    <w:rsid w:val="00D173C6"/>
    <w:rsid w:val="00D17927"/>
    <w:rsid w:val="00D20116"/>
    <w:rsid w:val="00D20565"/>
    <w:rsid w:val="00D20A32"/>
    <w:rsid w:val="00D20BD9"/>
    <w:rsid w:val="00D20C21"/>
    <w:rsid w:val="00D21D80"/>
    <w:rsid w:val="00D22271"/>
    <w:rsid w:val="00D229B1"/>
    <w:rsid w:val="00D22DC4"/>
    <w:rsid w:val="00D22DF1"/>
    <w:rsid w:val="00D23F94"/>
    <w:rsid w:val="00D26BA4"/>
    <w:rsid w:val="00D275B6"/>
    <w:rsid w:val="00D27EA3"/>
    <w:rsid w:val="00D31ECE"/>
    <w:rsid w:val="00D3320E"/>
    <w:rsid w:val="00D3417F"/>
    <w:rsid w:val="00D34290"/>
    <w:rsid w:val="00D34C40"/>
    <w:rsid w:val="00D352FD"/>
    <w:rsid w:val="00D35536"/>
    <w:rsid w:val="00D41043"/>
    <w:rsid w:val="00D4199E"/>
    <w:rsid w:val="00D41CB9"/>
    <w:rsid w:val="00D4203B"/>
    <w:rsid w:val="00D42231"/>
    <w:rsid w:val="00D42B23"/>
    <w:rsid w:val="00D43E90"/>
    <w:rsid w:val="00D44990"/>
    <w:rsid w:val="00D46433"/>
    <w:rsid w:val="00D46AA3"/>
    <w:rsid w:val="00D46AED"/>
    <w:rsid w:val="00D4701F"/>
    <w:rsid w:val="00D50049"/>
    <w:rsid w:val="00D505F9"/>
    <w:rsid w:val="00D52A11"/>
    <w:rsid w:val="00D53E8A"/>
    <w:rsid w:val="00D54954"/>
    <w:rsid w:val="00D558C2"/>
    <w:rsid w:val="00D57B8D"/>
    <w:rsid w:val="00D57C2D"/>
    <w:rsid w:val="00D6016C"/>
    <w:rsid w:val="00D605D6"/>
    <w:rsid w:val="00D6328E"/>
    <w:rsid w:val="00D64740"/>
    <w:rsid w:val="00D65009"/>
    <w:rsid w:val="00D67153"/>
    <w:rsid w:val="00D6748B"/>
    <w:rsid w:val="00D7049B"/>
    <w:rsid w:val="00D706C2"/>
    <w:rsid w:val="00D70EC5"/>
    <w:rsid w:val="00D72D11"/>
    <w:rsid w:val="00D73B7B"/>
    <w:rsid w:val="00D73FC5"/>
    <w:rsid w:val="00D75299"/>
    <w:rsid w:val="00D76847"/>
    <w:rsid w:val="00D77467"/>
    <w:rsid w:val="00D817DD"/>
    <w:rsid w:val="00D82AD1"/>
    <w:rsid w:val="00D832AD"/>
    <w:rsid w:val="00D83559"/>
    <w:rsid w:val="00D83F26"/>
    <w:rsid w:val="00D8436B"/>
    <w:rsid w:val="00D84C18"/>
    <w:rsid w:val="00D851CA"/>
    <w:rsid w:val="00D85D2E"/>
    <w:rsid w:val="00D866C9"/>
    <w:rsid w:val="00D9024B"/>
    <w:rsid w:val="00D91F79"/>
    <w:rsid w:val="00D931B2"/>
    <w:rsid w:val="00D94FB4"/>
    <w:rsid w:val="00D96160"/>
    <w:rsid w:val="00D96676"/>
    <w:rsid w:val="00D96DEB"/>
    <w:rsid w:val="00D97C37"/>
    <w:rsid w:val="00DA0947"/>
    <w:rsid w:val="00DA1BDB"/>
    <w:rsid w:val="00DA2676"/>
    <w:rsid w:val="00DA278D"/>
    <w:rsid w:val="00DB0655"/>
    <w:rsid w:val="00DB0C4A"/>
    <w:rsid w:val="00DB1494"/>
    <w:rsid w:val="00DB1BCC"/>
    <w:rsid w:val="00DB1FEB"/>
    <w:rsid w:val="00DB219B"/>
    <w:rsid w:val="00DB30D1"/>
    <w:rsid w:val="00DB4514"/>
    <w:rsid w:val="00DB4E0B"/>
    <w:rsid w:val="00DB4FE3"/>
    <w:rsid w:val="00DB5FC8"/>
    <w:rsid w:val="00DB6F4A"/>
    <w:rsid w:val="00DC03FF"/>
    <w:rsid w:val="00DC0631"/>
    <w:rsid w:val="00DC0BEC"/>
    <w:rsid w:val="00DC1801"/>
    <w:rsid w:val="00DC2890"/>
    <w:rsid w:val="00DC52DA"/>
    <w:rsid w:val="00DC5556"/>
    <w:rsid w:val="00DC6CD2"/>
    <w:rsid w:val="00DC717D"/>
    <w:rsid w:val="00DC742A"/>
    <w:rsid w:val="00DC7DCA"/>
    <w:rsid w:val="00DD02E8"/>
    <w:rsid w:val="00DD1945"/>
    <w:rsid w:val="00DD3100"/>
    <w:rsid w:val="00DD4973"/>
    <w:rsid w:val="00DD520F"/>
    <w:rsid w:val="00DD58DA"/>
    <w:rsid w:val="00DD5C64"/>
    <w:rsid w:val="00DD5EDB"/>
    <w:rsid w:val="00DD6BF6"/>
    <w:rsid w:val="00DD7ED6"/>
    <w:rsid w:val="00DE13FE"/>
    <w:rsid w:val="00DE1D61"/>
    <w:rsid w:val="00DE1E7C"/>
    <w:rsid w:val="00DE3BA3"/>
    <w:rsid w:val="00DE3CF5"/>
    <w:rsid w:val="00DE3FA5"/>
    <w:rsid w:val="00DE4508"/>
    <w:rsid w:val="00DE519D"/>
    <w:rsid w:val="00DE5697"/>
    <w:rsid w:val="00DE5BFF"/>
    <w:rsid w:val="00DE6669"/>
    <w:rsid w:val="00DE73AB"/>
    <w:rsid w:val="00DF06EF"/>
    <w:rsid w:val="00DF0B04"/>
    <w:rsid w:val="00DF0C70"/>
    <w:rsid w:val="00DF1B76"/>
    <w:rsid w:val="00DF31D8"/>
    <w:rsid w:val="00DF3649"/>
    <w:rsid w:val="00DF378E"/>
    <w:rsid w:val="00DF3B97"/>
    <w:rsid w:val="00DF51DC"/>
    <w:rsid w:val="00DF6079"/>
    <w:rsid w:val="00DF6466"/>
    <w:rsid w:val="00E009AF"/>
    <w:rsid w:val="00E00B06"/>
    <w:rsid w:val="00E00D6B"/>
    <w:rsid w:val="00E01119"/>
    <w:rsid w:val="00E0137B"/>
    <w:rsid w:val="00E014AB"/>
    <w:rsid w:val="00E02735"/>
    <w:rsid w:val="00E02D6B"/>
    <w:rsid w:val="00E0387F"/>
    <w:rsid w:val="00E03E73"/>
    <w:rsid w:val="00E04B64"/>
    <w:rsid w:val="00E04E7C"/>
    <w:rsid w:val="00E05E1B"/>
    <w:rsid w:val="00E079E5"/>
    <w:rsid w:val="00E07A3E"/>
    <w:rsid w:val="00E101CF"/>
    <w:rsid w:val="00E10EB2"/>
    <w:rsid w:val="00E11763"/>
    <w:rsid w:val="00E13187"/>
    <w:rsid w:val="00E14D07"/>
    <w:rsid w:val="00E154B4"/>
    <w:rsid w:val="00E16635"/>
    <w:rsid w:val="00E1714F"/>
    <w:rsid w:val="00E20016"/>
    <w:rsid w:val="00E21523"/>
    <w:rsid w:val="00E21698"/>
    <w:rsid w:val="00E219E0"/>
    <w:rsid w:val="00E222C9"/>
    <w:rsid w:val="00E239D1"/>
    <w:rsid w:val="00E23D4F"/>
    <w:rsid w:val="00E23FEA"/>
    <w:rsid w:val="00E24224"/>
    <w:rsid w:val="00E24A10"/>
    <w:rsid w:val="00E24BB3"/>
    <w:rsid w:val="00E24FF2"/>
    <w:rsid w:val="00E2567D"/>
    <w:rsid w:val="00E27AEE"/>
    <w:rsid w:val="00E317BC"/>
    <w:rsid w:val="00E342ED"/>
    <w:rsid w:val="00E349DF"/>
    <w:rsid w:val="00E35C1D"/>
    <w:rsid w:val="00E36F50"/>
    <w:rsid w:val="00E373DA"/>
    <w:rsid w:val="00E37447"/>
    <w:rsid w:val="00E37740"/>
    <w:rsid w:val="00E41743"/>
    <w:rsid w:val="00E42510"/>
    <w:rsid w:val="00E426D2"/>
    <w:rsid w:val="00E43619"/>
    <w:rsid w:val="00E4374D"/>
    <w:rsid w:val="00E44A21"/>
    <w:rsid w:val="00E45442"/>
    <w:rsid w:val="00E465D7"/>
    <w:rsid w:val="00E47D1A"/>
    <w:rsid w:val="00E5023C"/>
    <w:rsid w:val="00E50B52"/>
    <w:rsid w:val="00E5121A"/>
    <w:rsid w:val="00E5150A"/>
    <w:rsid w:val="00E52F62"/>
    <w:rsid w:val="00E53517"/>
    <w:rsid w:val="00E53957"/>
    <w:rsid w:val="00E54088"/>
    <w:rsid w:val="00E540EB"/>
    <w:rsid w:val="00E54412"/>
    <w:rsid w:val="00E54B1B"/>
    <w:rsid w:val="00E55046"/>
    <w:rsid w:val="00E55917"/>
    <w:rsid w:val="00E55F3D"/>
    <w:rsid w:val="00E56017"/>
    <w:rsid w:val="00E5753D"/>
    <w:rsid w:val="00E606B1"/>
    <w:rsid w:val="00E61684"/>
    <w:rsid w:val="00E64403"/>
    <w:rsid w:val="00E65022"/>
    <w:rsid w:val="00E6610E"/>
    <w:rsid w:val="00E66FF7"/>
    <w:rsid w:val="00E671B6"/>
    <w:rsid w:val="00E67923"/>
    <w:rsid w:val="00E70D21"/>
    <w:rsid w:val="00E7171E"/>
    <w:rsid w:val="00E72FF5"/>
    <w:rsid w:val="00E73F79"/>
    <w:rsid w:val="00E74B67"/>
    <w:rsid w:val="00E74B88"/>
    <w:rsid w:val="00E75B29"/>
    <w:rsid w:val="00E75FCD"/>
    <w:rsid w:val="00E7601D"/>
    <w:rsid w:val="00E7721D"/>
    <w:rsid w:val="00E7738B"/>
    <w:rsid w:val="00E77B3A"/>
    <w:rsid w:val="00E80E38"/>
    <w:rsid w:val="00E81205"/>
    <w:rsid w:val="00E81B5D"/>
    <w:rsid w:val="00E82202"/>
    <w:rsid w:val="00E83048"/>
    <w:rsid w:val="00E83716"/>
    <w:rsid w:val="00E83AD1"/>
    <w:rsid w:val="00E84750"/>
    <w:rsid w:val="00E86C10"/>
    <w:rsid w:val="00E90E03"/>
    <w:rsid w:val="00E91E85"/>
    <w:rsid w:val="00E9385B"/>
    <w:rsid w:val="00E94C78"/>
    <w:rsid w:val="00E958FA"/>
    <w:rsid w:val="00E97C3F"/>
    <w:rsid w:val="00EA03BB"/>
    <w:rsid w:val="00EA1024"/>
    <w:rsid w:val="00EA1A06"/>
    <w:rsid w:val="00EA24FA"/>
    <w:rsid w:val="00EA343C"/>
    <w:rsid w:val="00EA3570"/>
    <w:rsid w:val="00EA3704"/>
    <w:rsid w:val="00EA3CE5"/>
    <w:rsid w:val="00EA4136"/>
    <w:rsid w:val="00EA7DE6"/>
    <w:rsid w:val="00EB1635"/>
    <w:rsid w:val="00EB184F"/>
    <w:rsid w:val="00EB2BB7"/>
    <w:rsid w:val="00EB31FA"/>
    <w:rsid w:val="00EB3818"/>
    <w:rsid w:val="00EB45E6"/>
    <w:rsid w:val="00EB53FF"/>
    <w:rsid w:val="00EB55AC"/>
    <w:rsid w:val="00EB6AD9"/>
    <w:rsid w:val="00EC12EF"/>
    <w:rsid w:val="00EC136F"/>
    <w:rsid w:val="00EC1849"/>
    <w:rsid w:val="00EC2445"/>
    <w:rsid w:val="00EC38B8"/>
    <w:rsid w:val="00EC44E7"/>
    <w:rsid w:val="00EC4A13"/>
    <w:rsid w:val="00EC61A6"/>
    <w:rsid w:val="00EC6764"/>
    <w:rsid w:val="00EC6B9D"/>
    <w:rsid w:val="00EC6FCD"/>
    <w:rsid w:val="00ED035E"/>
    <w:rsid w:val="00ED0889"/>
    <w:rsid w:val="00ED2499"/>
    <w:rsid w:val="00ED2793"/>
    <w:rsid w:val="00ED3448"/>
    <w:rsid w:val="00ED3466"/>
    <w:rsid w:val="00ED4693"/>
    <w:rsid w:val="00ED5662"/>
    <w:rsid w:val="00ED6330"/>
    <w:rsid w:val="00ED649F"/>
    <w:rsid w:val="00EE00C2"/>
    <w:rsid w:val="00EE0E4F"/>
    <w:rsid w:val="00EE1061"/>
    <w:rsid w:val="00EE154F"/>
    <w:rsid w:val="00EE1D58"/>
    <w:rsid w:val="00EE3E76"/>
    <w:rsid w:val="00EE4714"/>
    <w:rsid w:val="00EE52F9"/>
    <w:rsid w:val="00EE58CF"/>
    <w:rsid w:val="00EE5C2E"/>
    <w:rsid w:val="00EE6442"/>
    <w:rsid w:val="00EE7980"/>
    <w:rsid w:val="00EF0314"/>
    <w:rsid w:val="00EF07D3"/>
    <w:rsid w:val="00EF30CF"/>
    <w:rsid w:val="00EF54E0"/>
    <w:rsid w:val="00EF5EEF"/>
    <w:rsid w:val="00EF7DED"/>
    <w:rsid w:val="00F00633"/>
    <w:rsid w:val="00F01711"/>
    <w:rsid w:val="00F023D8"/>
    <w:rsid w:val="00F0285A"/>
    <w:rsid w:val="00F0406B"/>
    <w:rsid w:val="00F04BB1"/>
    <w:rsid w:val="00F04E3C"/>
    <w:rsid w:val="00F05F4C"/>
    <w:rsid w:val="00F06F7C"/>
    <w:rsid w:val="00F07C3B"/>
    <w:rsid w:val="00F1185A"/>
    <w:rsid w:val="00F119F2"/>
    <w:rsid w:val="00F1216A"/>
    <w:rsid w:val="00F121F1"/>
    <w:rsid w:val="00F13562"/>
    <w:rsid w:val="00F15378"/>
    <w:rsid w:val="00F153A2"/>
    <w:rsid w:val="00F164FA"/>
    <w:rsid w:val="00F23FD5"/>
    <w:rsid w:val="00F241DE"/>
    <w:rsid w:val="00F247FE"/>
    <w:rsid w:val="00F254F4"/>
    <w:rsid w:val="00F27196"/>
    <w:rsid w:val="00F305F2"/>
    <w:rsid w:val="00F30C74"/>
    <w:rsid w:val="00F31294"/>
    <w:rsid w:val="00F31361"/>
    <w:rsid w:val="00F31F4B"/>
    <w:rsid w:val="00F328DE"/>
    <w:rsid w:val="00F33438"/>
    <w:rsid w:val="00F34517"/>
    <w:rsid w:val="00F3463C"/>
    <w:rsid w:val="00F3591A"/>
    <w:rsid w:val="00F35ED8"/>
    <w:rsid w:val="00F36D8C"/>
    <w:rsid w:val="00F372EE"/>
    <w:rsid w:val="00F3772A"/>
    <w:rsid w:val="00F37DE4"/>
    <w:rsid w:val="00F37FED"/>
    <w:rsid w:val="00F4035D"/>
    <w:rsid w:val="00F40A95"/>
    <w:rsid w:val="00F417C1"/>
    <w:rsid w:val="00F429F0"/>
    <w:rsid w:val="00F42D17"/>
    <w:rsid w:val="00F4392F"/>
    <w:rsid w:val="00F440ED"/>
    <w:rsid w:val="00F444B4"/>
    <w:rsid w:val="00F44578"/>
    <w:rsid w:val="00F46F3B"/>
    <w:rsid w:val="00F5054C"/>
    <w:rsid w:val="00F5092A"/>
    <w:rsid w:val="00F51C94"/>
    <w:rsid w:val="00F51DD1"/>
    <w:rsid w:val="00F5371C"/>
    <w:rsid w:val="00F54349"/>
    <w:rsid w:val="00F549DC"/>
    <w:rsid w:val="00F57BA3"/>
    <w:rsid w:val="00F62791"/>
    <w:rsid w:val="00F64489"/>
    <w:rsid w:val="00F65915"/>
    <w:rsid w:val="00F65BA5"/>
    <w:rsid w:val="00F65C4E"/>
    <w:rsid w:val="00F65CBB"/>
    <w:rsid w:val="00F67E75"/>
    <w:rsid w:val="00F70051"/>
    <w:rsid w:val="00F70757"/>
    <w:rsid w:val="00F71EC5"/>
    <w:rsid w:val="00F729EC"/>
    <w:rsid w:val="00F73269"/>
    <w:rsid w:val="00F74B60"/>
    <w:rsid w:val="00F75905"/>
    <w:rsid w:val="00F75F21"/>
    <w:rsid w:val="00F76DC8"/>
    <w:rsid w:val="00F804F8"/>
    <w:rsid w:val="00F821E6"/>
    <w:rsid w:val="00F82261"/>
    <w:rsid w:val="00F830A6"/>
    <w:rsid w:val="00F83779"/>
    <w:rsid w:val="00F85218"/>
    <w:rsid w:val="00F8586B"/>
    <w:rsid w:val="00F87534"/>
    <w:rsid w:val="00F9092B"/>
    <w:rsid w:val="00F91286"/>
    <w:rsid w:val="00F91EDC"/>
    <w:rsid w:val="00F92273"/>
    <w:rsid w:val="00F9361D"/>
    <w:rsid w:val="00F94478"/>
    <w:rsid w:val="00F951E2"/>
    <w:rsid w:val="00F95BD5"/>
    <w:rsid w:val="00F969C0"/>
    <w:rsid w:val="00F9745B"/>
    <w:rsid w:val="00F974F4"/>
    <w:rsid w:val="00FA0F29"/>
    <w:rsid w:val="00FA1143"/>
    <w:rsid w:val="00FA319F"/>
    <w:rsid w:val="00FA39E4"/>
    <w:rsid w:val="00FA4407"/>
    <w:rsid w:val="00FA44F7"/>
    <w:rsid w:val="00FA4A11"/>
    <w:rsid w:val="00FA4EAC"/>
    <w:rsid w:val="00FA5D5F"/>
    <w:rsid w:val="00FA6D33"/>
    <w:rsid w:val="00FA761B"/>
    <w:rsid w:val="00FA7CAA"/>
    <w:rsid w:val="00FB0B86"/>
    <w:rsid w:val="00FB0C37"/>
    <w:rsid w:val="00FB228C"/>
    <w:rsid w:val="00FB231B"/>
    <w:rsid w:val="00FB41EE"/>
    <w:rsid w:val="00FB45A5"/>
    <w:rsid w:val="00FB4BB7"/>
    <w:rsid w:val="00FB4F6C"/>
    <w:rsid w:val="00FC2BEB"/>
    <w:rsid w:val="00FC48BF"/>
    <w:rsid w:val="00FC670A"/>
    <w:rsid w:val="00FC734F"/>
    <w:rsid w:val="00FD0653"/>
    <w:rsid w:val="00FD0A6F"/>
    <w:rsid w:val="00FD134C"/>
    <w:rsid w:val="00FD1CB8"/>
    <w:rsid w:val="00FD21FB"/>
    <w:rsid w:val="00FD357D"/>
    <w:rsid w:val="00FD3D41"/>
    <w:rsid w:val="00FD4ACC"/>
    <w:rsid w:val="00FD4BA8"/>
    <w:rsid w:val="00FD584F"/>
    <w:rsid w:val="00FD62D9"/>
    <w:rsid w:val="00FD6822"/>
    <w:rsid w:val="00FD7237"/>
    <w:rsid w:val="00FE0BCF"/>
    <w:rsid w:val="00FE2100"/>
    <w:rsid w:val="00FE214D"/>
    <w:rsid w:val="00FE33C3"/>
    <w:rsid w:val="00FE51FD"/>
    <w:rsid w:val="00FE5A55"/>
    <w:rsid w:val="00FF0B2A"/>
    <w:rsid w:val="00FF0CF3"/>
    <w:rsid w:val="00FF0E82"/>
    <w:rsid w:val="00FF1799"/>
    <w:rsid w:val="00FF1E4E"/>
    <w:rsid w:val="00FF1E6D"/>
    <w:rsid w:val="00FF3671"/>
    <w:rsid w:val="00FF5013"/>
    <w:rsid w:val="00FF5A16"/>
    <w:rsid w:val="00FF62E7"/>
    <w:rsid w:val="00FF6970"/>
    <w:rsid w:val="00FF76F7"/>
    <w:rsid w:val="00FF787C"/>
    <w:rsid w:val="00FF7F6B"/>
    <w:rsid w:val="62F18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65B"/>
    <w:pPr>
      <w:spacing w:after="200" w:line="276" w:lineRule="auto"/>
    </w:pPr>
    <w:rPr>
      <w:sz w:val="24"/>
      <w:lang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41634"/>
  </w:style>
  <w:style w:type="numbering" w:customStyle="1" w:styleId="NoList11">
    <w:name w:val="No List11"/>
    <w:next w:val="NoList"/>
    <w:uiPriority w:val="99"/>
    <w:semiHidden/>
    <w:unhideWhenUsed/>
    <w:rsid w:val="00741634"/>
  </w:style>
  <w:style w:type="numbering" w:customStyle="1" w:styleId="NoList111">
    <w:name w:val="No List111"/>
    <w:next w:val="NoList"/>
    <w:uiPriority w:val="99"/>
    <w:semiHidden/>
    <w:unhideWhenUsed/>
    <w:rsid w:val="00741634"/>
  </w:style>
  <w:style w:type="character" w:styleId="CommentReference">
    <w:name w:val="annotation reference"/>
    <w:uiPriority w:val="99"/>
    <w:unhideWhenUsed/>
    <w:rsid w:val="00741634"/>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741634"/>
    <w:rPr>
      <w:rFonts w:ascii="Calibri" w:hAnsi="Calibri"/>
      <w:sz w:val="20"/>
      <w:lang w:eastAsia="en-US"/>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eastAsia="en-US"/>
    </w:rPr>
  </w:style>
  <w:style w:type="character" w:customStyle="1" w:styleId="TitleChar">
    <w:name w:val="Title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rPr>
  </w:style>
  <w:style w:type="paragraph" w:styleId="NoSpacing">
    <w:name w:val="No Spacing"/>
    <w:link w:val="NoSpacingChar"/>
    <w:uiPriority w:val="1"/>
    <w:qFormat/>
    <w:rsid w:val="00741634"/>
    <w:rPr>
      <w:rFonts w:ascii="Calibri" w:hAnsi="Calibri"/>
      <w:sz w:val="22"/>
      <w:szCs w:val="22"/>
    </w:rPr>
  </w:style>
  <w:style w:type="character" w:styleId="Hyperlink">
    <w:name w:val="Hyperlink"/>
    <w:aliases w:val="Alna"/>
    <w:uiPriority w:val="99"/>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eastAsia="lt-LT"/>
    </w:rPr>
  </w:style>
  <w:style w:type="numbering" w:customStyle="1" w:styleId="NoList2">
    <w:name w:val="No List2"/>
    <w:next w:val="NoList"/>
    <w:uiPriority w:val="99"/>
    <w:semiHidden/>
    <w:unhideWhenUsed/>
    <w:rsid w:val="00741634"/>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qFormat/>
    <w:rsid w:val="00741634"/>
    <w:pPr>
      <w:spacing w:after="0" w:line="240" w:lineRule="auto"/>
      <w:jc w:val="center"/>
    </w:pPr>
    <w:rPr>
      <w:rFonts w:eastAsia="Times New Roman"/>
      <w:szCs w:val="24"/>
      <w:lang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en-GB" w:eastAsia="lt-LT"/>
    </w:rPr>
  </w:style>
  <w:style w:type="character" w:customStyle="1" w:styleId="Heading2Char">
    <w:name w:val="Heading 2 Char"/>
    <w:link w:val="Heading2"/>
    <w:uiPriority w:val="99"/>
    <w:rsid w:val="00B237DA"/>
    <w:rPr>
      <w:rFonts w:eastAsia="Times New Roman"/>
      <w:sz w:val="24"/>
      <w:lang w:val="en-GB" w:eastAsia="lt-LT"/>
    </w:rPr>
  </w:style>
  <w:style w:type="character" w:customStyle="1" w:styleId="Heading3Char">
    <w:name w:val="Heading 3 Char"/>
    <w:link w:val="Heading3"/>
    <w:uiPriority w:val="99"/>
    <w:rsid w:val="00B237DA"/>
    <w:rPr>
      <w:rFonts w:eastAsia="Times New Roman"/>
      <w:sz w:val="24"/>
      <w:lang w:val="en-GB" w:eastAsia="lt-LT"/>
    </w:rPr>
  </w:style>
  <w:style w:type="character" w:customStyle="1" w:styleId="Heading4Char">
    <w:name w:val="Heading 4 Char"/>
    <w:aliases w:val="Heading 4 Char Char Char Char Char"/>
    <w:link w:val="Heading4"/>
    <w:uiPriority w:val="99"/>
    <w:rsid w:val="00B237DA"/>
    <w:rPr>
      <w:rFonts w:eastAsia="Times New Roman"/>
      <w:b/>
      <w:sz w:val="44"/>
      <w:lang w:val="en-GB" w:eastAsia="lt-LT"/>
    </w:rPr>
  </w:style>
  <w:style w:type="character" w:customStyle="1" w:styleId="Heading5Char">
    <w:name w:val="Heading 5 Char"/>
    <w:link w:val="Heading5"/>
    <w:uiPriority w:val="99"/>
    <w:rsid w:val="00B237DA"/>
    <w:rPr>
      <w:rFonts w:eastAsia="Times New Roman"/>
      <w:b/>
      <w:sz w:val="40"/>
      <w:lang w:val="en-GB" w:eastAsia="lt-LT"/>
    </w:rPr>
  </w:style>
  <w:style w:type="character" w:customStyle="1" w:styleId="Heading6Char">
    <w:name w:val="Heading 6 Char"/>
    <w:link w:val="Heading6"/>
    <w:uiPriority w:val="99"/>
    <w:rsid w:val="00B237DA"/>
    <w:rPr>
      <w:rFonts w:eastAsia="Times New Roman"/>
      <w:b/>
      <w:sz w:val="36"/>
      <w:lang w:val="en-GB" w:eastAsia="lt-LT"/>
    </w:rPr>
  </w:style>
  <w:style w:type="character" w:customStyle="1" w:styleId="Heading7Char">
    <w:name w:val="Heading 7 Char"/>
    <w:link w:val="Heading7"/>
    <w:uiPriority w:val="99"/>
    <w:rsid w:val="00B237DA"/>
    <w:rPr>
      <w:rFonts w:eastAsia="Times New Roman"/>
      <w:sz w:val="48"/>
      <w:lang w:val="en-GB" w:eastAsia="lt-LT"/>
    </w:rPr>
  </w:style>
  <w:style w:type="character" w:customStyle="1" w:styleId="Heading8Char">
    <w:name w:val="Heading 8 Char"/>
    <w:link w:val="Heading8"/>
    <w:uiPriority w:val="99"/>
    <w:rsid w:val="00B237DA"/>
    <w:rPr>
      <w:rFonts w:eastAsia="Times New Roman"/>
      <w:b/>
      <w:sz w:val="18"/>
      <w:lang w:val="en-GB" w:eastAsia="lt-LT"/>
    </w:rPr>
  </w:style>
  <w:style w:type="character" w:customStyle="1" w:styleId="Heading9Char">
    <w:name w:val="Heading 9 Char"/>
    <w:link w:val="Heading9"/>
    <w:uiPriority w:val="99"/>
    <w:rsid w:val="00B237DA"/>
    <w:rPr>
      <w:rFonts w:eastAsia="Times New Roman"/>
      <w:sz w:val="40"/>
      <w:lang w:val="en-GB"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eastAsia="en-US"/>
    </w:rPr>
  </w:style>
  <w:style w:type="paragraph" w:styleId="BodyTextIndent">
    <w:name w:val="Body Text Indent"/>
    <w:basedOn w:val="Normal"/>
    <w:link w:val="BodyTextIndentChar"/>
    <w:uiPriority w:val="99"/>
    <w:unhideWhenUsed/>
    <w:rsid w:val="00536FEB"/>
    <w:pPr>
      <w:spacing w:after="120"/>
      <w:ind w:left="283"/>
    </w:pPr>
    <w:rPr>
      <w:lang w:eastAsia="x-none"/>
    </w:rPr>
  </w:style>
  <w:style w:type="character" w:customStyle="1" w:styleId="BodyTextIndentChar">
    <w:name w:val="Body Text Indent Char"/>
    <w:link w:val="BodyTextIndent"/>
    <w:uiPriority w:val="99"/>
    <w:rsid w:val="00536FEB"/>
    <w:rPr>
      <w:sz w:val="24"/>
      <w:lang w:val="en-GB"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eastAsia="ja-JP"/>
    </w:rPr>
  </w:style>
  <w:style w:type="paragraph" w:styleId="TOC1">
    <w:name w:val="toc 1"/>
    <w:basedOn w:val="Normal"/>
    <w:next w:val="Normal"/>
    <w:autoRedefine/>
    <w:uiPriority w:val="39"/>
    <w:unhideWhenUsed/>
    <w:qFormat/>
    <w:rsid w:val="00807408"/>
    <w:pPr>
      <w:tabs>
        <w:tab w:val="left" w:pos="480"/>
        <w:tab w:val="right" w:leader="dot" w:pos="9771"/>
      </w:tabs>
      <w:spacing w:after="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next w:val="111111"/>
    <w:unhideWhenUsed/>
    <w:rsid w:val="00AD7C0A"/>
    <w:pPr>
      <w:numPr>
        <w:numId w:val="37"/>
      </w:numPr>
    </w:pPr>
  </w:style>
  <w:style w:type="character" w:customStyle="1" w:styleId="Style9Char">
    <w:name w:val="Style9 Char"/>
    <w:link w:val="Style9"/>
    <w:rsid w:val="00D75299"/>
    <w:rPr>
      <w:b/>
      <w:sz w:val="28"/>
      <w:szCs w:val="22"/>
      <w:lang w:eastAsia="en-US"/>
    </w:rPr>
  </w:style>
  <w:style w:type="numbering" w:styleId="111111">
    <w:name w:val="Outline List 2"/>
    <w:basedOn w:val="NoList"/>
    <w:uiPriority w:val="99"/>
    <w:semiHidden/>
    <w:unhideWhenUsed/>
    <w:rsid w:val="00AD7C0A"/>
  </w:style>
  <w:style w:type="paragraph" w:customStyle="1" w:styleId="TableParagraph">
    <w:name w:val="Table Paragraph"/>
    <w:basedOn w:val="Normal"/>
    <w:uiPriority w:val="1"/>
    <w:qFormat/>
    <w:rsid w:val="003166EB"/>
    <w:pPr>
      <w:widowControl w:val="0"/>
      <w:autoSpaceDE w:val="0"/>
      <w:autoSpaceDN w:val="0"/>
      <w:spacing w:before="12" w:after="0" w:line="222" w:lineRule="exact"/>
      <w:jc w:val="center"/>
    </w:pPr>
    <w:rPr>
      <w:rFonts w:eastAsia="Times New Roman"/>
      <w:sz w:val="22"/>
      <w:szCs w:val="22"/>
      <w:lang w:eastAsia="lt"/>
    </w:rPr>
  </w:style>
  <w:style w:type="character" w:styleId="UnresolvedMention">
    <w:name w:val="Unresolved Mention"/>
    <w:basedOn w:val="DefaultParagraphFont"/>
    <w:uiPriority w:val="99"/>
    <w:semiHidden/>
    <w:unhideWhenUsed/>
    <w:rsid w:val="00242007"/>
    <w:rPr>
      <w:color w:val="605E5C"/>
      <w:shd w:val="clear" w:color="auto" w:fill="E1DFDD"/>
    </w:rPr>
  </w:style>
  <w:style w:type="character" w:customStyle="1" w:styleId="NoSpacingChar">
    <w:name w:val="No Spacing Char"/>
    <w:basedOn w:val="DefaultParagraphFont"/>
    <w:link w:val="NoSpacing"/>
    <w:uiPriority w:val="1"/>
    <w:rsid w:val="00BB6764"/>
    <w:rPr>
      <w:rFonts w:ascii="Calibri" w:hAnsi="Calibri"/>
      <w:sz w:val="22"/>
      <w:szCs w:val="22"/>
      <w:lang w:val="en-GB"/>
    </w:rPr>
  </w:style>
  <w:style w:type="table" w:customStyle="1" w:styleId="TableGrid1">
    <w:name w:val="Table Grid1"/>
    <w:basedOn w:val="TableNormal"/>
    <w:next w:val="TableGrid"/>
    <w:uiPriority w:val="99"/>
    <w:rsid w:val="00135EFA"/>
    <w:rPr>
      <w:rFonts w:ascii="Calibri" w:hAnsi="Calibri"/>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D4207"/>
  </w:style>
  <w:style w:type="character" w:styleId="Emphasis">
    <w:name w:val="Emphasis"/>
    <w:basedOn w:val="DefaultParagraphFont"/>
    <w:qFormat/>
    <w:rsid w:val="005E03D2"/>
    <w:rPr>
      <w:i/>
      <w:iCs/>
    </w:rPr>
  </w:style>
  <w:style w:type="character" w:styleId="Strong">
    <w:name w:val="Strong"/>
    <w:uiPriority w:val="22"/>
    <w:qFormat/>
    <w:rsid w:val="005E03D2"/>
    <w:rPr>
      <w:b/>
      <w:bCs/>
    </w:rPr>
  </w:style>
  <w:style w:type="paragraph" w:customStyle="1" w:styleId="TS11">
    <w:name w:val="TS 1.1."/>
    <w:basedOn w:val="Normal"/>
    <w:qFormat/>
    <w:rsid w:val="005E03D2"/>
    <w:pPr>
      <w:widowControl w:val="0"/>
      <w:numPr>
        <w:ilvl w:val="4"/>
        <w:numId w:val="56"/>
      </w:numPr>
      <w:tabs>
        <w:tab w:val="left" w:pos="1418"/>
      </w:tabs>
      <w:spacing w:before="120" w:after="0"/>
      <w:contextualSpacing/>
      <w:jc w:val="both"/>
      <w:outlineLvl w:val="0"/>
    </w:pPr>
    <w:rPr>
      <w:rFonts w:eastAsiaTheme="minorHAnsi" w:cstheme="minorBidi"/>
      <w:szCs w:val="24"/>
      <w:lang w:eastAsia="en-US"/>
    </w:rPr>
  </w:style>
  <w:style w:type="paragraph" w:customStyle="1" w:styleId="TS111">
    <w:name w:val="TS 1.1.1."/>
    <w:basedOn w:val="Normal"/>
    <w:qFormat/>
    <w:rsid w:val="005E03D2"/>
    <w:pPr>
      <w:widowControl w:val="0"/>
      <w:numPr>
        <w:ilvl w:val="5"/>
        <w:numId w:val="56"/>
      </w:numPr>
      <w:tabs>
        <w:tab w:val="left" w:pos="1701"/>
      </w:tabs>
      <w:spacing w:after="0"/>
      <w:contextualSpacing/>
      <w:jc w:val="both"/>
      <w:outlineLvl w:val="0"/>
    </w:pPr>
    <w:rPr>
      <w:rFonts w:eastAsiaTheme="minorHAnsi" w:cstheme="minorBidi"/>
      <w:szCs w:val="24"/>
      <w:lang w:eastAsia="en-US"/>
    </w:rPr>
  </w:style>
  <w:style w:type="paragraph" w:customStyle="1" w:styleId="TS1111">
    <w:name w:val="TS 1.1.1.1."/>
    <w:basedOn w:val="Normal"/>
    <w:qFormat/>
    <w:rsid w:val="005E03D2"/>
    <w:pPr>
      <w:widowControl w:val="0"/>
      <w:tabs>
        <w:tab w:val="left" w:pos="567"/>
        <w:tab w:val="left" w:pos="1985"/>
      </w:tabs>
      <w:spacing w:after="0"/>
      <w:ind w:firstLine="851"/>
      <w:contextualSpacing/>
      <w:jc w:val="both"/>
      <w:outlineLvl w:val="0"/>
    </w:pPr>
    <w:rPr>
      <w:rFonts w:eastAsiaTheme="minorHAnsi" w:cstheme="minorBidi"/>
      <w:szCs w:val="24"/>
      <w:lang w:eastAsia="en-US"/>
    </w:rPr>
  </w:style>
  <w:style w:type="paragraph" w:customStyle="1" w:styleId="TS11111">
    <w:name w:val="TS 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customStyle="1" w:styleId="TS111111">
    <w:name w:val="TS 1.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customStyle="1" w:styleId="TS1111111">
    <w:name w:val="TS 1.1.1.1.1.1.1."/>
    <w:basedOn w:val="Normal"/>
    <w:qFormat/>
    <w:rsid w:val="005E03D2"/>
    <w:pPr>
      <w:widowControl w:val="0"/>
      <w:tabs>
        <w:tab w:val="left" w:pos="567"/>
        <w:tab w:val="left" w:pos="2410"/>
      </w:tabs>
      <w:spacing w:after="0"/>
      <w:ind w:firstLine="851"/>
      <w:contextualSpacing/>
      <w:jc w:val="both"/>
      <w:outlineLvl w:val="0"/>
    </w:pPr>
    <w:rPr>
      <w:rFonts w:eastAsiaTheme="minorHAnsi" w:cstheme="minorBidi"/>
      <w:szCs w:val="24"/>
      <w:lang w:eastAsia="en-US"/>
    </w:rPr>
  </w:style>
  <w:style w:type="paragraph" w:customStyle="1" w:styleId="TS11111111">
    <w:name w:val="TS 1.1.1.1.1.1.1.1."/>
    <w:basedOn w:val="Normal"/>
    <w:qFormat/>
    <w:rsid w:val="005E03D2"/>
    <w:pPr>
      <w:widowControl w:val="0"/>
      <w:tabs>
        <w:tab w:val="left" w:pos="567"/>
        <w:tab w:val="left" w:pos="2552"/>
      </w:tabs>
      <w:spacing w:after="0"/>
      <w:ind w:firstLine="851"/>
      <w:contextualSpacing/>
      <w:jc w:val="both"/>
      <w:outlineLvl w:val="0"/>
    </w:pPr>
    <w:rPr>
      <w:rFonts w:eastAsiaTheme="minorHAnsi" w:cstheme="minorBidi"/>
      <w:szCs w:val="24"/>
      <w:lang w:eastAsia="en-US"/>
    </w:rPr>
  </w:style>
  <w:style w:type="paragraph" w:customStyle="1" w:styleId="TSI">
    <w:name w:val="TS I"/>
    <w:basedOn w:val="Normal"/>
    <w:link w:val="TSIDiagrama"/>
    <w:qFormat/>
    <w:rsid w:val="005E03D2"/>
    <w:pPr>
      <w:keepNext/>
      <w:tabs>
        <w:tab w:val="left" w:pos="567"/>
      </w:tabs>
      <w:spacing w:before="240" w:after="120"/>
      <w:ind w:firstLine="289"/>
      <w:contextualSpacing/>
      <w:jc w:val="center"/>
      <w:outlineLvl w:val="0"/>
    </w:pPr>
    <w:rPr>
      <w:rFonts w:eastAsiaTheme="minorHAnsi" w:cstheme="minorBidi"/>
      <w:b/>
      <w:sz w:val="28"/>
      <w:szCs w:val="22"/>
      <w:lang w:eastAsia="en-US"/>
    </w:rPr>
  </w:style>
  <w:style w:type="paragraph" w:customStyle="1" w:styleId="TS12">
    <w:name w:val="TS 1(2)"/>
    <w:basedOn w:val="Normal"/>
    <w:qFormat/>
    <w:rsid w:val="005E03D2"/>
    <w:pPr>
      <w:keepNext/>
      <w:tabs>
        <w:tab w:val="left" w:pos="1276"/>
      </w:tabs>
      <w:spacing w:before="120" w:after="0"/>
      <w:ind w:left="792" w:hanging="432"/>
      <w:contextualSpacing/>
      <w:jc w:val="both"/>
      <w:outlineLvl w:val="0"/>
    </w:pPr>
    <w:rPr>
      <w:rFonts w:eastAsiaTheme="minorHAnsi" w:cstheme="minorBidi"/>
      <w:b/>
      <w:szCs w:val="24"/>
      <w:lang w:eastAsia="en-US"/>
    </w:rPr>
  </w:style>
  <w:style w:type="character" w:customStyle="1" w:styleId="TSIDiagrama">
    <w:name w:val="TS I Diagrama"/>
    <w:basedOn w:val="DefaultParagraphFont"/>
    <w:link w:val="TSI"/>
    <w:rsid w:val="005E03D2"/>
    <w:rPr>
      <w:rFonts w:eastAsiaTheme="minorHAnsi" w:cstheme="minorBidi"/>
      <w:b/>
      <w:sz w:val="28"/>
      <w:szCs w:val="22"/>
      <w:lang w:val="en-GB"/>
    </w:rPr>
  </w:style>
  <w:style w:type="character" w:customStyle="1" w:styleId="UnresolvedMention1">
    <w:name w:val="Unresolved Mention1"/>
    <w:basedOn w:val="DefaultParagraphFont"/>
    <w:uiPriority w:val="99"/>
    <w:semiHidden/>
    <w:unhideWhenUsed/>
    <w:rsid w:val="005E03D2"/>
    <w:rPr>
      <w:color w:val="605E5C"/>
      <w:shd w:val="clear" w:color="auto" w:fill="E1DFDD"/>
    </w:rPr>
  </w:style>
  <w:style w:type="paragraph" w:styleId="BodyTextIndent2">
    <w:name w:val="Body Text Indent 2"/>
    <w:basedOn w:val="Normal"/>
    <w:link w:val="BodyTextIndent2Char"/>
    <w:uiPriority w:val="99"/>
    <w:rsid w:val="005E03D2"/>
    <w:pPr>
      <w:spacing w:after="120" w:line="240" w:lineRule="auto"/>
      <w:ind w:left="851" w:firstLine="720"/>
      <w:jc w:val="both"/>
    </w:pPr>
    <w:rPr>
      <w:rFonts w:asciiTheme="minorHAnsi" w:eastAsia="Times New Roman" w:hAnsiTheme="minorHAnsi"/>
      <w:color w:val="FF0000"/>
      <w:sz w:val="22"/>
      <w:lang w:eastAsia="en-US"/>
    </w:rPr>
  </w:style>
  <w:style w:type="character" w:customStyle="1" w:styleId="BodyTextIndent2Char">
    <w:name w:val="Body Text Indent 2 Char"/>
    <w:basedOn w:val="DefaultParagraphFont"/>
    <w:link w:val="BodyTextIndent2"/>
    <w:uiPriority w:val="99"/>
    <w:rsid w:val="005E03D2"/>
    <w:rPr>
      <w:rFonts w:asciiTheme="minorHAnsi" w:eastAsia="Times New Roman" w:hAnsiTheme="minorHAnsi"/>
      <w:color w:val="FF0000"/>
      <w:sz w:val="22"/>
      <w:lang w:val="en-GB"/>
    </w:rPr>
  </w:style>
  <w:style w:type="paragraph" w:styleId="BodyText3">
    <w:name w:val="Body Text 3"/>
    <w:basedOn w:val="Normal"/>
    <w:link w:val="BodyText3Char"/>
    <w:uiPriority w:val="99"/>
    <w:rsid w:val="005E03D2"/>
    <w:pPr>
      <w:spacing w:after="120" w:line="240" w:lineRule="auto"/>
      <w:ind w:left="851" w:hanging="851"/>
      <w:jc w:val="both"/>
    </w:pPr>
    <w:rPr>
      <w:rFonts w:asciiTheme="minorHAnsi" w:eastAsia="Times New Roman" w:hAnsiTheme="minorHAnsi"/>
      <w:color w:val="0000FF"/>
      <w:sz w:val="22"/>
      <w:lang w:eastAsia="en-US"/>
    </w:rPr>
  </w:style>
  <w:style w:type="character" w:customStyle="1" w:styleId="BodyText3Char">
    <w:name w:val="Body Text 3 Char"/>
    <w:basedOn w:val="DefaultParagraphFont"/>
    <w:link w:val="BodyText3"/>
    <w:uiPriority w:val="99"/>
    <w:rsid w:val="005E03D2"/>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5E03D2"/>
    <w:pPr>
      <w:numPr>
        <w:ilvl w:val="0"/>
        <w:numId w:val="5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5E03D2"/>
    <w:rPr>
      <w:rFonts w:ascii="Calibri" w:eastAsia="MS Mincho" w:hAnsi="Calibri"/>
      <w:b/>
      <w:color w:val="000000"/>
      <w:sz w:val="22"/>
      <w:szCs w:val="24"/>
      <w:lang w:val="en-GB"/>
    </w:rPr>
  </w:style>
  <w:style w:type="paragraph" w:customStyle="1" w:styleId="StiliusAntrat3Automatin">
    <w:name w:val="Stilius Antraštė 3 + Automatinė"/>
    <w:basedOn w:val="Heading3"/>
    <w:autoRedefine/>
    <w:uiPriority w:val="99"/>
    <w:rsid w:val="005E03D2"/>
    <w:pPr>
      <w:keepNext w:val="0"/>
      <w:numPr>
        <w:ilvl w:val="0"/>
        <w:numId w:val="0"/>
      </w:numPr>
      <w:spacing w:after="120"/>
      <w:ind w:left="-142" w:firstLine="142"/>
    </w:pPr>
    <w:rPr>
      <w:rFonts w:ascii="Calibri" w:eastAsia="Calibri" w:hAnsi="Calibri"/>
      <w:sz w:val="22"/>
      <w:szCs w:val="22"/>
      <w:lang w:eastAsia="en-US"/>
    </w:rPr>
  </w:style>
  <w:style w:type="paragraph" w:customStyle="1" w:styleId="S2lygis">
    <w:name w:val="_S 2 lygis"/>
    <w:basedOn w:val="Normal"/>
    <w:rsid w:val="005E03D2"/>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5E03D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eastAsia="en-US"/>
    </w:rPr>
  </w:style>
  <w:style w:type="paragraph" w:styleId="Caption">
    <w:name w:val="caption"/>
    <w:basedOn w:val="Normal"/>
    <w:next w:val="Normal"/>
    <w:uiPriority w:val="99"/>
    <w:unhideWhenUsed/>
    <w:qFormat/>
    <w:rsid w:val="005E03D2"/>
    <w:pPr>
      <w:spacing w:line="240" w:lineRule="auto"/>
      <w:ind w:left="851" w:hanging="851"/>
    </w:pPr>
    <w:rPr>
      <w:rFonts w:asciiTheme="minorHAnsi" w:eastAsia="Times New Roman" w:hAnsiTheme="minorHAnsi"/>
      <w:b/>
      <w:bCs/>
      <w:color w:val="4F81BD" w:themeColor="accent1"/>
      <w:sz w:val="18"/>
      <w:szCs w:val="18"/>
      <w:lang w:eastAsia="en-US"/>
    </w:rPr>
  </w:style>
  <w:style w:type="character" w:customStyle="1" w:styleId="NormalBold">
    <w:name w:val="Normal Bold"/>
    <w:basedOn w:val="DefaultParagraphFont"/>
    <w:uiPriority w:val="1"/>
    <w:rsid w:val="005E03D2"/>
    <w:rPr>
      <w:rFonts w:asciiTheme="minorHAnsi" w:hAnsiTheme="minorHAnsi"/>
      <w:b/>
      <w:sz w:val="24"/>
    </w:rPr>
  </w:style>
  <w:style w:type="paragraph" w:customStyle="1" w:styleId="ColorfulList-Accent11">
    <w:name w:val="Colorful List - Accent 11"/>
    <w:basedOn w:val="Normal"/>
    <w:uiPriority w:val="34"/>
    <w:qFormat/>
    <w:rsid w:val="005E03D2"/>
    <w:pPr>
      <w:spacing w:after="120" w:line="240" w:lineRule="auto"/>
      <w:ind w:left="720" w:hanging="851"/>
      <w:contextualSpacing/>
    </w:pPr>
    <w:rPr>
      <w:rFonts w:eastAsia="Times New Roman"/>
      <w:sz w:val="22"/>
      <w:szCs w:val="24"/>
      <w:lang w:eastAsia="en-US"/>
    </w:rPr>
  </w:style>
  <w:style w:type="paragraph" w:customStyle="1" w:styleId="listbyletter">
    <w:name w:val="list by letter"/>
    <w:basedOn w:val="ListParagraph"/>
    <w:autoRedefine/>
    <w:qFormat/>
    <w:rsid w:val="005E03D2"/>
    <w:pPr>
      <w:numPr>
        <w:ilvl w:val="1"/>
        <w:numId w:val="58"/>
      </w:numPr>
      <w:spacing w:after="120" w:line="240" w:lineRule="auto"/>
      <w:contextualSpacing w:val="0"/>
      <w:jc w:val="both"/>
    </w:pPr>
    <w:rPr>
      <w:rFonts w:asciiTheme="minorHAnsi" w:eastAsia="Times New Roman" w:hAnsiTheme="minorHAnsi" w:cstheme="minorHAnsi"/>
      <w:sz w:val="20"/>
      <w:szCs w:val="20"/>
    </w:rPr>
  </w:style>
  <w:style w:type="paragraph" w:styleId="NormalWeb">
    <w:name w:val="Normal (Web)"/>
    <w:basedOn w:val="Normal"/>
    <w:uiPriority w:val="99"/>
    <w:semiHidden/>
    <w:unhideWhenUsed/>
    <w:rsid w:val="005E03D2"/>
    <w:pPr>
      <w:spacing w:before="100" w:beforeAutospacing="1" w:after="100" w:afterAutospacing="1" w:line="240" w:lineRule="auto"/>
    </w:pPr>
    <w:rPr>
      <w:rFonts w:eastAsia="Times New Roman"/>
      <w:sz w:val="22"/>
      <w:szCs w:val="24"/>
      <w:lang w:eastAsia="en-US"/>
    </w:rPr>
  </w:style>
  <w:style w:type="paragraph" w:styleId="TOC4">
    <w:name w:val="toc 4"/>
    <w:basedOn w:val="Normal"/>
    <w:next w:val="Normal"/>
    <w:autoRedefine/>
    <w:uiPriority w:val="39"/>
    <w:unhideWhenUsed/>
    <w:rsid w:val="005E03D2"/>
    <w:pPr>
      <w:spacing w:after="0" w:line="240" w:lineRule="auto"/>
      <w:ind w:left="720" w:hanging="851"/>
    </w:pPr>
    <w:rPr>
      <w:rFonts w:asciiTheme="minorHAnsi" w:eastAsia="Times New Roman" w:hAnsiTheme="minorHAnsi" w:cstheme="minorHAnsi"/>
      <w:sz w:val="18"/>
      <w:szCs w:val="18"/>
      <w:lang w:eastAsia="en-US"/>
    </w:rPr>
  </w:style>
  <w:style w:type="paragraph" w:styleId="TOC5">
    <w:name w:val="toc 5"/>
    <w:basedOn w:val="Normal"/>
    <w:next w:val="Normal"/>
    <w:autoRedefine/>
    <w:uiPriority w:val="39"/>
    <w:unhideWhenUsed/>
    <w:rsid w:val="005E03D2"/>
    <w:pPr>
      <w:spacing w:after="0" w:line="240" w:lineRule="auto"/>
      <w:ind w:left="960" w:hanging="851"/>
    </w:pPr>
    <w:rPr>
      <w:rFonts w:asciiTheme="minorHAnsi" w:eastAsia="Times New Roman" w:hAnsiTheme="minorHAnsi" w:cstheme="minorHAnsi"/>
      <w:sz w:val="18"/>
      <w:szCs w:val="18"/>
      <w:lang w:eastAsia="en-US"/>
    </w:rPr>
  </w:style>
  <w:style w:type="paragraph" w:styleId="TOC6">
    <w:name w:val="toc 6"/>
    <w:basedOn w:val="Normal"/>
    <w:next w:val="Normal"/>
    <w:autoRedefine/>
    <w:uiPriority w:val="39"/>
    <w:unhideWhenUsed/>
    <w:rsid w:val="005E03D2"/>
    <w:pPr>
      <w:spacing w:after="0" w:line="240" w:lineRule="auto"/>
      <w:ind w:left="1200" w:hanging="851"/>
    </w:pPr>
    <w:rPr>
      <w:rFonts w:asciiTheme="minorHAnsi" w:eastAsia="Times New Roman" w:hAnsiTheme="minorHAnsi" w:cstheme="minorHAnsi"/>
      <w:sz w:val="18"/>
      <w:szCs w:val="18"/>
      <w:lang w:eastAsia="en-US"/>
    </w:rPr>
  </w:style>
  <w:style w:type="paragraph" w:styleId="TOC7">
    <w:name w:val="toc 7"/>
    <w:basedOn w:val="Normal"/>
    <w:next w:val="Normal"/>
    <w:autoRedefine/>
    <w:uiPriority w:val="39"/>
    <w:unhideWhenUsed/>
    <w:rsid w:val="005E03D2"/>
    <w:pPr>
      <w:spacing w:after="0" w:line="240" w:lineRule="auto"/>
      <w:ind w:left="1440" w:hanging="851"/>
    </w:pPr>
    <w:rPr>
      <w:rFonts w:asciiTheme="minorHAnsi" w:eastAsia="Times New Roman" w:hAnsiTheme="minorHAnsi" w:cstheme="minorHAnsi"/>
      <w:sz w:val="18"/>
      <w:szCs w:val="18"/>
      <w:lang w:eastAsia="en-US"/>
    </w:rPr>
  </w:style>
  <w:style w:type="paragraph" w:styleId="TOC8">
    <w:name w:val="toc 8"/>
    <w:basedOn w:val="Normal"/>
    <w:next w:val="Normal"/>
    <w:autoRedefine/>
    <w:uiPriority w:val="39"/>
    <w:unhideWhenUsed/>
    <w:rsid w:val="005E03D2"/>
    <w:pPr>
      <w:spacing w:after="0" w:line="240" w:lineRule="auto"/>
      <w:ind w:left="1680" w:hanging="851"/>
    </w:pPr>
    <w:rPr>
      <w:rFonts w:asciiTheme="minorHAnsi" w:eastAsia="Times New Roman" w:hAnsiTheme="minorHAnsi" w:cstheme="minorHAnsi"/>
      <w:sz w:val="18"/>
      <w:szCs w:val="18"/>
      <w:lang w:eastAsia="en-US"/>
    </w:rPr>
  </w:style>
  <w:style w:type="paragraph" w:styleId="TOC9">
    <w:name w:val="toc 9"/>
    <w:basedOn w:val="Normal"/>
    <w:next w:val="Normal"/>
    <w:autoRedefine/>
    <w:uiPriority w:val="39"/>
    <w:unhideWhenUsed/>
    <w:rsid w:val="005E03D2"/>
    <w:pPr>
      <w:spacing w:after="0" w:line="240" w:lineRule="auto"/>
      <w:ind w:left="1920" w:hanging="851"/>
    </w:pPr>
    <w:rPr>
      <w:rFonts w:asciiTheme="minorHAnsi" w:eastAsia="Times New Roman" w:hAnsiTheme="minorHAnsi" w:cstheme="minorHAnsi"/>
      <w:sz w:val="18"/>
      <w:szCs w:val="18"/>
      <w:lang w:eastAsia="en-US"/>
    </w:rPr>
  </w:style>
  <w:style w:type="paragraph" w:styleId="HTMLPreformatted">
    <w:name w:val="HTML Preformatted"/>
    <w:basedOn w:val="Normal"/>
    <w:link w:val="HTMLPreformattedChar"/>
    <w:rsid w:val="005E0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5E03D2"/>
    <w:rPr>
      <w:rFonts w:ascii="Courier New" w:eastAsia="Times New Roman" w:hAnsi="Courier New" w:cs="Courier New"/>
      <w:lang w:val="en-GB" w:eastAsia="lt-LT"/>
    </w:rPr>
  </w:style>
  <w:style w:type="character" w:styleId="LineNumber">
    <w:name w:val="line number"/>
    <w:basedOn w:val="DefaultParagraphFont"/>
    <w:uiPriority w:val="99"/>
    <w:semiHidden/>
    <w:unhideWhenUsed/>
    <w:rsid w:val="005E03D2"/>
  </w:style>
  <w:style w:type="character" w:customStyle="1" w:styleId="Neapdorotaspaminjimas1">
    <w:name w:val="Neapdorotas paminėjimas1"/>
    <w:basedOn w:val="DefaultParagraphFont"/>
    <w:uiPriority w:val="99"/>
    <w:semiHidden/>
    <w:unhideWhenUsed/>
    <w:rsid w:val="005E03D2"/>
    <w:rPr>
      <w:color w:val="808080"/>
      <w:shd w:val="clear" w:color="auto" w:fill="E6E6E6"/>
    </w:rPr>
  </w:style>
  <w:style w:type="character" w:customStyle="1" w:styleId="TPSkirsnisChar">
    <w:name w:val="TPSkirsnis Char"/>
    <w:link w:val="TPSkirsnis"/>
    <w:locked/>
    <w:rsid w:val="005E03D2"/>
    <w:rPr>
      <w:rFonts w:ascii="Courier New" w:hAnsi="Courier New" w:cs="Courier New"/>
      <w:noProof/>
    </w:rPr>
  </w:style>
  <w:style w:type="paragraph" w:customStyle="1" w:styleId="TPSkirsnis">
    <w:name w:val="TPSkirsnis"/>
    <w:basedOn w:val="Normal"/>
    <w:link w:val="TPSkirsnisChar"/>
    <w:rsid w:val="005E03D2"/>
    <w:pPr>
      <w:autoSpaceDE w:val="0"/>
      <w:autoSpaceDN w:val="0"/>
      <w:adjustRightInd w:val="0"/>
      <w:spacing w:after="0" w:line="240" w:lineRule="auto"/>
      <w:ind w:firstLine="720"/>
    </w:pPr>
    <w:rPr>
      <w:rFonts w:ascii="Courier New" w:hAnsi="Courier New" w:cs="Courier New"/>
      <w:noProof/>
      <w:sz w:val="20"/>
      <w:lang w:eastAsia="en-US"/>
    </w:rPr>
  </w:style>
  <w:style w:type="paragraph" w:customStyle="1" w:styleId="TableContents">
    <w:name w:val="Table Contents"/>
    <w:basedOn w:val="Normal"/>
    <w:qFormat/>
    <w:rsid w:val="005E03D2"/>
    <w:pPr>
      <w:suppressLineNumbers/>
      <w:suppressAutoHyphens/>
      <w:overflowPunct w:val="0"/>
      <w:spacing w:after="0" w:line="240" w:lineRule="auto"/>
    </w:pPr>
    <w:rPr>
      <w:rFonts w:ascii="Liberation Serif" w:eastAsia="SimSun" w:hAnsi="Liberation Serif" w:cs="Mangal"/>
      <w:color w:val="00000A"/>
      <w:szCs w:val="24"/>
      <w:lang w:eastAsia="zh-CN" w:bidi="hi-IN"/>
    </w:rPr>
  </w:style>
  <w:style w:type="table" w:customStyle="1" w:styleId="TableGrid2">
    <w:name w:val="Table Grid2"/>
    <w:basedOn w:val="TableNormal"/>
    <w:next w:val="TableGrid"/>
    <w:uiPriority w:val="39"/>
    <w:rsid w:val="005E03D2"/>
    <w:rPr>
      <w:rFonts w:asciiTheme="minorHAnsi" w:eastAsia="Times New Roman"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5E03D2"/>
    <w:rPr>
      <w:rFonts w:ascii="Calibri" w:hAnsi="Calibri"/>
      <w:sz w:val="22"/>
      <w:szCs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E03D2"/>
    <w:rPr>
      <w:rFonts w:ascii="Calibri" w:hAnsi="Calibri"/>
      <w:lang w:eastAsia="lt-L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al"/>
    <w:rsid w:val="005E03D2"/>
    <w:pPr>
      <w:spacing w:before="100" w:beforeAutospacing="1" w:after="100" w:afterAutospacing="1" w:line="240" w:lineRule="auto"/>
    </w:pPr>
    <w:rPr>
      <w:rFonts w:eastAsia="Times New Roman"/>
      <w:szCs w:val="24"/>
    </w:rPr>
  </w:style>
  <w:style w:type="paragraph" w:customStyle="1" w:styleId="Normal1">
    <w:name w:val="Normal1"/>
    <w:basedOn w:val="Normal"/>
    <w:rsid w:val="005E03D2"/>
    <w:pPr>
      <w:spacing w:before="100" w:beforeAutospacing="1" w:after="100" w:afterAutospacing="1" w:line="240" w:lineRule="auto"/>
    </w:pPr>
    <w:rPr>
      <w:rFonts w:eastAsia="Times New Roman"/>
      <w:szCs w:val="24"/>
    </w:rPr>
  </w:style>
  <w:style w:type="table" w:customStyle="1" w:styleId="GridTable1Light-Accent12">
    <w:name w:val="Grid Table 1 Light - Accent 12"/>
    <w:basedOn w:val="TableNormal"/>
    <w:next w:val="GridTable1Light-Accent1"/>
    <w:uiPriority w:val="46"/>
    <w:rsid w:val="005E03D2"/>
    <w:rPr>
      <w:rFonts w:asciiTheme="minorHAnsi" w:eastAsiaTheme="minorHAnsi" w:hAnsiTheme="minorHAnsi" w:cstheme="minorBidi"/>
      <w:sz w:val="22"/>
      <w:szCs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824510621">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uzsifravimo_instrukcija.pdf" TargetMode="External"/><Relationship Id="rId39" Type="http://schemas.openxmlformats.org/officeDocument/2006/relationships/theme" Target="theme/theme1.xml"/><Relationship Id="rId21" Type="http://schemas.openxmlformats.org/officeDocument/2006/relationships/hyperlink" Target="https://www.registrucentras.lt/jar/p/index.ph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aleksa@lb.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e-tar.lt/portal/lt/legalAct/0b3eed60839411e5b7eba10a9b5a9c5f/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vpt.lrv.lt/lt/naujienos/ebvpd-pildymo-rekomendacijo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pirkimai.eviesiejipirkimai.lt."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www.e-tar.lt/portal/lt/legalAct/ac06a811833811f0a8bbd1e98310677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o.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uzsifravimo_instrukcija.pdf" TargetMode="External"/><Relationship Id="rId30" Type="http://schemas.openxmlformats.org/officeDocument/2006/relationships/hyperlink" Target="https://www.e-tar.lt/portal/lt/legalAct/a052ae40d2ca11e8bea9885f77677ec1/asr"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2025-12-18T08:59:55+00:00</Laikas>
    <Keliaujantysasmenys xmlns="c6da43bd-9902-4606-88fe-d450e7eb23ba">
      <UserInfo>
        <DisplayName/>
        <AccountId xsi:nil="true"/>
        <AccountType/>
      </UserInfo>
    </Keliaujantysasmeny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3" ma:contentTypeDescription="Create a new document." ma:contentTypeScope="" ma:versionID="adb1464298ee5cbd3a1d9d3d909c2211">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e1ea17c6e1eca65bd53bd3cda0ec1bad"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3.xml><?xml version="1.0" encoding="utf-8"?>
<ds:datastoreItem xmlns:ds="http://schemas.openxmlformats.org/officeDocument/2006/customXml" ds:itemID="{96851F0E-5B7A-4C58-88E3-6683F04A6A14}"/>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15025</Words>
  <Characters>85648</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100473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Gintautas Aleksa</cp:lastModifiedBy>
  <cp:revision>3</cp:revision>
  <cp:lastPrinted>2017-07-12T13:22:00Z</cp:lastPrinted>
  <dcterms:created xsi:type="dcterms:W3CDTF">2025-12-16T07:35:00Z</dcterms:created>
  <dcterms:modified xsi:type="dcterms:W3CDTF">2025-12-17T14:07:00Z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ClassificationContentMarkingHeaderShapeIds">
    <vt:lpwstr>4bd0d67a,4280ae9e,1ba749bf</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70980e57,66762695,e9d7628</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2024-11-25T09:44:58Z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2c5686ef-0149-4441-8bf0-232639102445</vt:lpwstr>
  </property>
  <property fmtid="{D5CDD505-2E9C-101B-9397-08002B2CF9AE}" pid="15" name="MSIP_Label_4774ea4e-ebf2-4ee9-8277-efda9dcc2693_ContentBits">
    <vt:lpwstr>3</vt:lpwstr>
  </property>
</Properties>
</file>